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4D433" w14:textId="77777777" w:rsidR="0008762C" w:rsidRPr="00DD4909" w:rsidRDefault="0008762C" w:rsidP="00353D3A">
      <w:pPr>
        <w:spacing w:after="200" w:line="480" w:lineRule="auto"/>
        <w:jc w:val="center"/>
        <w:rPr>
          <w:rFonts w:ascii="Bookman Old Style" w:hAnsi="Bookman Old Style" w:cs="Times New Roman"/>
          <w:b/>
          <w:sz w:val="28"/>
          <w:szCs w:val="28"/>
        </w:rPr>
      </w:pPr>
      <w:r w:rsidRPr="00DD4909">
        <w:rPr>
          <w:rFonts w:ascii="Bookman Old Style" w:hAnsi="Bookman Old Style" w:cs="Times New Roman"/>
          <w:b/>
          <w:sz w:val="28"/>
          <w:szCs w:val="28"/>
        </w:rPr>
        <w:t xml:space="preserve">Lease and </w:t>
      </w:r>
      <w:r w:rsidR="00DD4909" w:rsidRPr="00DD4909">
        <w:rPr>
          <w:rFonts w:ascii="Bookman Old Style" w:hAnsi="Bookman Old Style" w:cs="Times New Roman"/>
          <w:b/>
          <w:sz w:val="28"/>
          <w:szCs w:val="28"/>
        </w:rPr>
        <w:t>License</w:t>
      </w:r>
    </w:p>
    <w:p w14:paraId="086D5ABC" w14:textId="20A950DA" w:rsidR="00DD4909" w:rsidRPr="00DD4909" w:rsidRDefault="00353D3A" w:rsidP="00353D3A">
      <w:pPr>
        <w:spacing w:after="200" w:line="480" w:lineRule="auto"/>
        <w:rPr>
          <w:rFonts w:ascii="Bookman Old Style" w:hAnsi="Bookman Old Style" w:cs="Times New Roman"/>
          <w:b/>
          <w:u w:val="single"/>
        </w:rPr>
      </w:pPr>
      <w:r w:rsidRPr="00DD4909">
        <w:rPr>
          <w:rFonts w:ascii="Bookman Old Style" w:hAnsi="Bookman Old Style" w:cs="Times New Roman"/>
          <w:b/>
          <w:u w:val="single"/>
        </w:rPr>
        <w:t>PRELUDE</w:t>
      </w:r>
      <w:r w:rsidR="00DD4909" w:rsidRPr="00DD4909">
        <w:rPr>
          <w:rFonts w:ascii="Bookman Old Style" w:hAnsi="Bookman Old Style" w:cs="Times New Roman"/>
          <w:b/>
          <w:u w:val="single"/>
        </w:rPr>
        <w:t>:</w:t>
      </w:r>
    </w:p>
    <w:p w14:paraId="663E863C" w14:textId="13407C0E" w:rsidR="00DD4909" w:rsidRDefault="00DD4909" w:rsidP="00353D3A">
      <w:pPr>
        <w:spacing w:after="200" w:line="480" w:lineRule="auto"/>
        <w:ind w:firstLine="360"/>
        <w:jc w:val="both"/>
        <w:rPr>
          <w:rFonts w:ascii="Bookman Old Style" w:hAnsi="Bookman Old Style" w:cs="Times New Roman"/>
        </w:rPr>
      </w:pPr>
      <w:r w:rsidRPr="00DD4909">
        <w:rPr>
          <w:rFonts w:ascii="Bookman Old Style" w:hAnsi="Bookman Old Style" w:cs="Times New Roman"/>
        </w:rPr>
        <w:t xml:space="preserve">Today </w:t>
      </w:r>
      <w:r w:rsidRPr="00DD4909">
        <w:rPr>
          <w:rFonts w:ascii="Bookman Old Style" w:hAnsi="Bookman Old Style" w:cs="Times New Roman"/>
          <w:i/>
        </w:rPr>
        <w:t>via</w:t>
      </w:r>
      <w:r w:rsidRPr="00DD4909">
        <w:rPr>
          <w:rFonts w:ascii="Bookman Old Style" w:hAnsi="Bookman Old Style" w:cs="Times New Roman"/>
        </w:rPr>
        <w:t xml:space="preserve"> this Article we shall attempt to de-clutter the </w:t>
      </w:r>
      <w:r w:rsidR="0008762C" w:rsidRPr="00DD4909">
        <w:rPr>
          <w:rFonts w:ascii="Bookman Old Style" w:hAnsi="Bookman Old Style" w:cs="Times New Roman"/>
        </w:rPr>
        <w:t>burnin</w:t>
      </w:r>
      <w:r w:rsidRPr="00DD4909">
        <w:rPr>
          <w:rFonts w:ascii="Bookman Old Style" w:hAnsi="Bookman Old Style" w:cs="Times New Roman"/>
        </w:rPr>
        <w:t xml:space="preserve">g question, that is, the </w:t>
      </w:r>
      <w:r w:rsidR="0008762C" w:rsidRPr="00DD4909">
        <w:rPr>
          <w:rFonts w:ascii="Bookman Old Style" w:hAnsi="Bookman Old Style" w:cs="Times New Roman"/>
        </w:rPr>
        <w:t xml:space="preserve">distinction between a lease and a </w:t>
      </w:r>
      <w:r w:rsidRPr="00DD4909">
        <w:rPr>
          <w:rFonts w:ascii="Bookman Old Style" w:hAnsi="Bookman Old Style" w:cs="Times New Roman"/>
        </w:rPr>
        <w:t>license</w:t>
      </w:r>
      <w:r w:rsidR="0008762C" w:rsidRPr="00DD4909">
        <w:rPr>
          <w:rFonts w:ascii="Bookman Old Style" w:hAnsi="Bookman Old Style" w:cs="Times New Roman"/>
        </w:rPr>
        <w:t>. This delicate question has been brought before t</w:t>
      </w:r>
      <w:r>
        <w:rPr>
          <w:rFonts w:ascii="Bookman Old Style" w:hAnsi="Bookman Old Style" w:cs="Times New Roman"/>
        </w:rPr>
        <w:t>he Supreme Court more than once. This factual position</w:t>
      </w:r>
      <w:r w:rsidR="0008762C" w:rsidRPr="00DD4909">
        <w:rPr>
          <w:rFonts w:ascii="Bookman Old Style" w:hAnsi="Bookman Old Style" w:cs="Times New Roman"/>
        </w:rPr>
        <w:t xml:space="preserve"> itself indicates that </w:t>
      </w:r>
      <w:r>
        <w:rPr>
          <w:rFonts w:ascii="Bookman Old Style" w:hAnsi="Bookman Old Style" w:cs="Times New Roman"/>
        </w:rPr>
        <w:t>there exists a thin line between the two, which requires</w:t>
      </w:r>
      <w:r w:rsidR="0052005A">
        <w:rPr>
          <w:rFonts w:ascii="Bookman Old Style" w:hAnsi="Bookman Old Style" w:cs="Times New Roman"/>
        </w:rPr>
        <w:t xml:space="preserve"> a</w:t>
      </w:r>
      <w:r>
        <w:rPr>
          <w:rFonts w:ascii="Bookman Old Style" w:hAnsi="Bookman Old Style" w:cs="Times New Roman"/>
        </w:rPr>
        <w:t xml:space="preserve"> careful dissection.</w:t>
      </w:r>
    </w:p>
    <w:p w14:paraId="07B09584" w14:textId="6B0DED2A" w:rsidR="0008762C" w:rsidRDefault="00DD4909" w:rsidP="00353D3A">
      <w:pPr>
        <w:spacing w:after="200" w:line="480" w:lineRule="auto"/>
        <w:ind w:firstLine="360"/>
        <w:jc w:val="both"/>
        <w:rPr>
          <w:rFonts w:ascii="Bookman Old Style" w:hAnsi="Bookman Old Style" w:cs="Times New Roman"/>
        </w:rPr>
      </w:pPr>
      <w:r>
        <w:rPr>
          <w:rFonts w:ascii="Bookman Old Style" w:hAnsi="Bookman Old Style" w:cs="Times New Roman"/>
        </w:rPr>
        <w:t xml:space="preserve">In </w:t>
      </w:r>
      <w:proofErr w:type="spellStart"/>
      <w:r w:rsidR="0008762C" w:rsidRPr="00DD4909">
        <w:rPr>
          <w:rFonts w:ascii="Bookman Old Style" w:hAnsi="Bookman Old Style" w:cs="Times New Roman"/>
          <w:b/>
          <w:i/>
        </w:rPr>
        <w:t>Sohan</w:t>
      </w:r>
      <w:proofErr w:type="spellEnd"/>
      <w:r w:rsidR="0008762C" w:rsidRPr="00DD4909">
        <w:rPr>
          <w:rFonts w:ascii="Bookman Old Style" w:hAnsi="Bookman Old Style" w:cs="Times New Roman"/>
          <w:b/>
          <w:i/>
        </w:rPr>
        <w:t xml:space="preserve"> </w:t>
      </w:r>
      <w:proofErr w:type="spellStart"/>
      <w:r w:rsidR="0008762C" w:rsidRPr="00DD4909">
        <w:rPr>
          <w:rFonts w:ascii="Bookman Old Style" w:hAnsi="Bookman Old Style" w:cs="Times New Roman"/>
          <w:b/>
          <w:i/>
        </w:rPr>
        <w:t>Lal</w:t>
      </w:r>
      <w:proofErr w:type="spellEnd"/>
      <w:r w:rsidR="0008762C" w:rsidRPr="00DD4909">
        <w:rPr>
          <w:rFonts w:ascii="Bookman Old Style" w:hAnsi="Bookman Old Style" w:cs="Times New Roman"/>
          <w:b/>
          <w:i/>
        </w:rPr>
        <w:t xml:space="preserve"> </w:t>
      </w:r>
      <w:proofErr w:type="spellStart"/>
      <w:r w:rsidR="0008762C" w:rsidRPr="00DD4909">
        <w:rPr>
          <w:rFonts w:ascii="Bookman Old Style" w:hAnsi="Bookman Old Style" w:cs="Times New Roman"/>
          <w:b/>
          <w:i/>
        </w:rPr>
        <w:t>Naraindas</w:t>
      </w:r>
      <w:proofErr w:type="spellEnd"/>
      <w:r w:rsidR="0008762C" w:rsidRPr="00DD4909">
        <w:rPr>
          <w:rFonts w:ascii="Bookman Old Style" w:hAnsi="Bookman Old Style" w:cs="Times New Roman"/>
          <w:b/>
          <w:i/>
        </w:rPr>
        <w:t> v. </w:t>
      </w:r>
      <w:proofErr w:type="spellStart"/>
      <w:r w:rsidR="0008762C" w:rsidRPr="00DD4909">
        <w:rPr>
          <w:rFonts w:ascii="Bookman Old Style" w:hAnsi="Bookman Old Style" w:cs="Times New Roman"/>
          <w:b/>
          <w:i/>
        </w:rPr>
        <w:t>Laxmidas</w:t>
      </w:r>
      <w:proofErr w:type="spellEnd"/>
      <w:r w:rsidR="0008762C" w:rsidRPr="00DD4909">
        <w:rPr>
          <w:rFonts w:ascii="Bookman Old Style" w:hAnsi="Bookman Old Style" w:cs="Times New Roman"/>
          <w:b/>
          <w:i/>
        </w:rPr>
        <w:t xml:space="preserve"> </w:t>
      </w:r>
      <w:proofErr w:type="spellStart"/>
      <w:r w:rsidR="0008762C" w:rsidRPr="00DD4909">
        <w:rPr>
          <w:rFonts w:ascii="Bookman Old Style" w:hAnsi="Bookman Old Style" w:cs="Times New Roman"/>
          <w:b/>
          <w:i/>
        </w:rPr>
        <w:t>Raghunath</w:t>
      </w:r>
      <w:proofErr w:type="spellEnd"/>
      <w:r w:rsidR="0008762C" w:rsidRPr="00DD4909">
        <w:rPr>
          <w:rFonts w:ascii="Bookman Old Style" w:hAnsi="Bookman Old Style" w:cs="Times New Roman"/>
          <w:b/>
          <w:i/>
        </w:rPr>
        <w:t xml:space="preserve"> </w:t>
      </w:r>
      <w:proofErr w:type="spellStart"/>
      <w:r w:rsidR="0008762C" w:rsidRPr="00DD4909">
        <w:rPr>
          <w:rFonts w:ascii="Bookman Old Style" w:hAnsi="Bookman Old Style" w:cs="Times New Roman"/>
          <w:b/>
          <w:i/>
        </w:rPr>
        <w:t>Gadit</w:t>
      </w:r>
      <w:proofErr w:type="spellEnd"/>
      <w:r>
        <w:rPr>
          <w:rStyle w:val="FootnoteReference"/>
          <w:rFonts w:ascii="Bookman Old Style" w:hAnsi="Bookman Old Style" w:cs="Times New Roman"/>
          <w:b/>
          <w:i/>
        </w:rPr>
        <w:footnoteReference w:id="1"/>
      </w:r>
      <w:r w:rsidR="0008762C" w:rsidRPr="00DD4909">
        <w:rPr>
          <w:rFonts w:ascii="Bookman Old Style" w:hAnsi="Bookman Old Style" w:cs="Times New Roman"/>
        </w:rPr>
        <w:t xml:space="preserve"> the Supreme Court held that the crucial test is the intention of the </w:t>
      </w:r>
      <w:proofErr w:type="gramStart"/>
      <w:r w:rsidR="0008762C" w:rsidRPr="00DD4909">
        <w:rPr>
          <w:rFonts w:ascii="Bookman Old Style" w:hAnsi="Bookman Old Style" w:cs="Times New Roman"/>
        </w:rPr>
        <w:t>parties</w:t>
      </w:r>
      <w:proofErr w:type="gramEnd"/>
      <w:r w:rsidR="0008762C" w:rsidRPr="00DD4909">
        <w:rPr>
          <w:rFonts w:ascii="Bookman Old Style" w:hAnsi="Bookman Old Style" w:cs="Times New Roman"/>
        </w:rPr>
        <w:t xml:space="preserve">, i.e. whether they intended to create a lease or a </w:t>
      </w:r>
      <w:r w:rsidRPr="00DD4909">
        <w:rPr>
          <w:rFonts w:ascii="Bookman Old Style" w:hAnsi="Bookman Old Style" w:cs="Times New Roman"/>
        </w:rPr>
        <w:t>license</w:t>
      </w:r>
      <w:r w:rsidR="0008762C" w:rsidRPr="00DD4909">
        <w:rPr>
          <w:rFonts w:ascii="Bookman Old Style" w:hAnsi="Bookman Old Style" w:cs="Times New Roman"/>
        </w:rPr>
        <w:t>, and that the test of exclusive possession, though not decisive is of </w:t>
      </w:r>
      <w:r>
        <w:rPr>
          <w:rFonts w:ascii="Bookman Old Style" w:hAnsi="Bookman Old Style" w:cs="Times New Roman"/>
        </w:rPr>
        <w:t xml:space="preserve">immense </w:t>
      </w:r>
      <w:r w:rsidR="0008762C" w:rsidRPr="00DD4909">
        <w:rPr>
          <w:rFonts w:ascii="Bookman Old Style" w:hAnsi="Bookman Old Style" w:cs="Times New Roman"/>
        </w:rPr>
        <w:t xml:space="preserve">significance. </w:t>
      </w:r>
      <w:r>
        <w:rPr>
          <w:rFonts w:ascii="Bookman Old Style" w:hAnsi="Bookman Old Style" w:cs="Times New Roman"/>
        </w:rPr>
        <w:t>Similar</w:t>
      </w:r>
      <w:r w:rsidR="0008762C" w:rsidRPr="00DD4909">
        <w:rPr>
          <w:rFonts w:ascii="Bookman Old Style" w:hAnsi="Bookman Old Style" w:cs="Times New Roman"/>
        </w:rPr>
        <w:t xml:space="preserve"> reasoning was</w:t>
      </w:r>
      <w:r>
        <w:rPr>
          <w:rFonts w:ascii="Bookman Old Style" w:hAnsi="Bookman Old Style" w:cs="Times New Roman"/>
        </w:rPr>
        <w:t xml:space="preserve"> also</w:t>
      </w:r>
      <w:r w:rsidR="0008762C" w:rsidRPr="00DD4909">
        <w:rPr>
          <w:rFonts w:ascii="Bookman Old Style" w:hAnsi="Bookman Old Style" w:cs="Times New Roman"/>
        </w:rPr>
        <w:t xml:space="preserve"> expressed earlier in </w:t>
      </w:r>
      <w:r w:rsidR="0008762C" w:rsidRPr="00DD4909">
        <w:rPr>
          <w:rFonts w:ascii="Bookman Old Style" w:hAnsi="Bookman Old Style" w:cs="Times New Roman"/>
          <w:b/>
          <w:i/>
        </w:rPr>
        <w:t xml:space="preserve">Ramamurthy </w:t>
      </w:r>
      <w:proofErr w:type="spellStart"/>
      <w:r w:rsidR="0008762C" w:rsidRPr="00DD4909">
        <w:rPr>
          <w:rFonts w:ascii="Bookman Old Style" w:hAnsi="Bookman Old Style" w:cs="Times New Roman"/>
          <w:b/>
          <w:i/>
        </w:rPr>
        <w:t>Subudhy</w:t>
      </w:r>
      <w:proofErr w:type="spellEnd"/>
      <w:r w:rsidR="0008762C" w:rsidRPr="00DD4909">
        <w:rPr>
          <w:rFonts w:ascii="Bookman Old Style" w:hAnsi="Bookman Old Style" w:cs="Times New Roman"/>
          <w:b/>
          <w:i/>
        </w:rPr>
        <w:t> v. </w:t>
      </w:r>
      <w:proofErr w:type="spellStart"/>
      <w:r w:rsidR="0008762C" w:rsidRPr="00DD4909">
        <w:rPr>
          <w:rFonts w:ascii="Bookman Old Style" w:hAnsi="Bookman Old Style" w:cs="Times New Roman"/>
          <w:b/>
          <w:i/>
        </w:rPr>
        <w:t>Gopinath</w:t>
      </w:r>
      <w:proofErr w:type="spellEnd"/>
      <w:r>
        <w:rPr>
          <w:rStyle w:val="FootnoteReference"/>
          <w:rFonts w:ascii="Bookman Old Style" w:hAnsi="Bookman Old Style" w:cs="Times New Roman"/>
          <w:b/>
          <w:i/>
        </w:rPr>
        <w:footnoteReference w:id="2"/>
      </w:r>
      <w:r w:rsidR="008349E9">
        <w:rPr>
          <w:rFonts w:ascii="Bookman Old Style" w:hAnsi="Bookman Old Style" w:cs="Times New Roman"/>
          <w:b/>
          <w:i/>
        </w:rPr>
        <w:t xml:space="preserve">, </w:t>
      </w:r>
      <w:r w:rsidR="0008762C" w:rsidRPr="008349E9">
        <w:rPr>
          <w:rFonts w:ascii="Bookman Old Style" w:hAnsi="Bookman Old Style" w:cs="Times New Roman"/>
          <w:b/>
          <w:i/>
        </w:rPr>
        <w:t xml:space="preserve">M.N. </w:t>
      </w:r>
      <w:proofErr w:type="spellStart"/>
      <w:r w:rsidR="0008762C" w:rsidRPr="008349E9">
        <w:rPr>
          <w:rFonts w:ascii="Bookman Old Style" w:hAnsi="Bookman Old Style" w:cs="Times New Roman"/>
          <w:b/>
          <w:i/>
        </w:rPr>
        <w:t>Clubwala</w:t>
      </w:r>
      <w:proofErr w:type="spellEnd"/>
      <w:r w:rsidR="0008762C" w:rsidRPr="008349E9">
        <w:rPr>
          <w:rFonts w:ascii="Bookman Old Style" w:hAnsi="Bookman Old Style" w:cs="Times New Roman"/>
          <w:b/>
          <w:i/>
        </w:rPr>
        <w:t xml:space="preserve"> (</w:t>
      </w:r>
      <w:proofErr w:type="spellStart"/>
      <w:r w:rsidR="0008762C" w:rsidRPr="008349E9">
        <w:rPr>
          <w:rFonts w:ascii="Bookman Old Style" w:hAnsi="Bookman Old Style" w:cs="Times New Roman"/>
          <w:b/>
          <w:i/>
        </w:rPr>
        <w:t>Mrs</w:t>
      </w:r>
      <w:proofErr w:type="spellEnd"/>
      <w:r w:rsidR="0008762C" w:rsidRPr="008349E9">
        <w:rPr>
          <w:rFonts w:ascii="Bookman Old Style" w:hAnsi="Bookman Old Style" w:cs="Times New Roman"/>
          <w:b/>
          <w:i/>
        </w:rPr>
        <w:t>) v. </w:t>
      </w:r>
      <w:proofErr w:type="spellStart"/>
      <w:r w:rsidR="0008762C" w:rsidRPr="008349E9">
        <w:rPr>
          <w:rFonts w:ascii="Bookman Old Style" w:hAnsi="Bookman Old Style" w:cs="Times New Roman"/>
          <w:b/>
          <w:i/>
        </w:rPr>
        <w:t>Fida</w:t>
      </w:r>
      <w:proofErr w:type="spellEnd"/>
      <w:r w:rsidR="0008762C" w:rsidRPr="008349E9">
        <w:rPr>
          <w:rFonts w:ascii="Bookman Old Style" w:hAnsi="Bookman Old Style" w:cs="Times New Roman"/>
          <w:b/>
          <w:i/>
        </w:rPr>
        <w:t xml:space="preserve"> </w:t>
      </w:r>
      <w:proofErr w:type="spellStart"/>
      <w:r w:rsidR="0008762C" w:rsidRPr="008349E9">
        <w:rPr>
          <w:rFonts w:ascii="Bookman Old Style" w:hAnsi="Bookman Old Style" w:cs="Times New Roman"/>
          <w:b/>
          <w:i/>
        </w:rPr>
        <w:t>Hussain</w:t>
      </w:r>
      <w:proofErr w:type="spellEnd"/>
      <w:r w:rsidR="008349E9">
        <w:rPr>
          <w:rStyle w:val="FootnoteReference"/>
          <w:rFonts w:ascii="Bookman Old Style" w:hAnsi="Bookman Old Style" w:cs="Times New Roman"/>
          <w:b/>
          <w:i/>
        </w:rPr>
        <w:footnoteReference w:id="3"/>
      </w:r>
      <w:r w:rsidR="0008762C" w:rsidRPr="00DD4909">
        <w:rPr>
          <w:rFonts w:ascii="Bookman Old Style" w:hAnsi="Bookman Old Style" w:cs="Times New Roman"/>
        </w:rPr>
        <w:t xml:space="preserve"> and </w:t>
      </w:r>
      <w:r w:rsidR="0008762C" w:rsidRPr="008349E9">
        <w:rPr>
          <w:rFonts w:ascii="Bookman Old Style" w:hAnsi="Bookman Old Style" w:cs="Times New Roman"/>
          <w:b/>
          <w:i/>
        </w:rPr>
        <w:t xml:space="preserve">Associated Hotels of India Limited v. R.N. </w:t>
      </w:r>
      <w:proofErr w:type="spellStart"/>
      <w:r w:rsidR="0008762C" w:rsidRPr="008349E9">
        <w:rPr>
          <w:rFonts w:ascii="Bookman Old Style" w:hAnsi="Bookman Old Style" w:cs="Times New Roman"/>
          <w:b/>
          <w:i/>
        </w:rPr>
        <w:t>Kapoor</w:t>
      </w:r>
      <w:proofErr w:type="spellEnd"/>
      <w:r w:rsidR="008349E9">
        <w:rPr>
          <w:rStyle w:val="FootnoteReference"/>
          <w:rFonts w:ascii="Bookman Old Style" w:hAnsi="Bookman Old Style" w:cs="Times New Roman"/>
          <w:b/>
          <w:i/>
        </w:rPr>
        <w:footnoteReference w:id="4"/>
      </w:r>
      <w:r w:rsidR="0008762C" w:rsidRPr="00DD4909">
        <w:rPr>
          <w:rFonts w:ascii="Bookman Old Style" w:hAnsi="Bookman Old Style" w:cs="Times New Roman"/>
        </w:rPr>
        <w:t xml:space="preserve">, where </w:t>
      </w:r>
      <w:r w:rsidR="008349E9">
        <w:rPr>
          <w:rFonts w:ascii="Bookman Old Style" w:hAnsi="Bookman Old Style" w:cs="Times New Roman"/>
        </w:rPr>
        <w:t xml:space="preserve">the Court </w:t>
      </w:r>
      <w:r w:rsidR="0008762C" w:rsidRPr="00DD4909">
        <w:rPr>
          <w:rFonts w:ascii="Bookman Old Style" w:hAnsi="Bookman Old Style" w:cs="Times New Roman"/>
        </w:rPr>
        <w:t xml:space="preserve">held that the document by itself could not be a deciding factor whether a particular transaction was a lease or a </w:t>
      </w:r>
      <w:r w:rsidR="00353D3A" w:rsidRPr="00DD4909">
        <w:rPr>
          <w:rFonts w:ascii="Bookman Old Style" w:hAnsi="Bookman Old Style" w:cs="Times New Roman"/>
        </w:rPr>
        <w:t>license</w:t>
      </w:r>
      <w:r w:rsidR="0008762C" w:rsidRPr="00DD4909">
        <w:rPr>
          <w:rFonts w:ascii="Bookman Old Style" w:hAnsi="Bookman Old Style" w:cs="Times New Roman"/>
        </w:rPr>
        <w:t>.</w:t>
      </w:r>
    </w:p>
    <w:p w14:paraId="6EDBD556" w14:textId="77777777" w:rsidR="00353D3A" w:rsidRDefault="00353D3A" w:rsidP="00353D3A">
      <w:pPr>
        <w:spacing w:after="200" w:line="480" w:lineRule="auto"/>
        <w:jc w:val="both"/>
        <w:rPr>
          <w:rFonts w:ascii="Bookman Old Style" w:hAnsi="Bookman Old Style" w:cs="Times New Roman"/>
          <w:b/>
          <w:u w:val="single"/>
        </w:rPr>
      </w:pPr>
    </w:p>
    <w:p w14:paraId="02944306" w14:textId="77777777" w:rsidR="00353D3A" w:rsidRDefault="00353D3A" w:rsidP="00353D3A">
      <w:pPr>
        <w:spacing w:after="200" w:line="480" w:lineRule="auto"/>
        <w:jc w:val="both"/>
        <w:rPr>
          <w:rFonts w:ascii="Bookman Old Style" w:hAnsi="Bookman Old Style" w:cs="Times New Roman"/>
          <w:b/>
          <w:u w:val="single"/>
        </w:rPr>
      </w:pPr>
    </w:p>
    <w:p w14:paraId="0CDBFD8C" w14:textId="77777777" w:rsidR="00353D3A" w:rsidRDefault="00353D3A" w:rsidP="00353D3A">
      <w:pPr>
        <w:spacing w:after="200" w:line="480" w:lineRule="auto"/>
        <w:jc w:val="both"/>
        <w:rPr>
          <w:rFonts w:ascii="Bookman Old Style" w:hAnsi="Bookman Old Style" w:cs="Times New Roman"/>
          <w:b/>
          <w:u w:val="single"/>
        </w:rPr>
      </w:pPr>
    </w:p>
    <w:p w14:paraId="10504D3C" w14:textId="72ACFF19" w:rsidR="00353D3A" w:rsidRPr="00353D3A" w:rsidRDefault="00353D3A" w:rsidP="00353D3A">
      <w:pPr>
        <w:spacing w:after="200" w:line="480" w:lineRule="auto"/>
        <w:jc w:val="both"/>
        <w:rPr>
          <w:rFonts w:ascii="Bookman Old Style" w:hAnsi="Bookman Old Style" w:cs="Times New Roman"/>
          <w:b/>
          <w:u w:val="single"/>
        </w:rPr>
      </w:pPr>
      <w:r w:rsidRPr="00353D3A">
        <w:rPr>
          <w:rFonts w:ascii="Bookman Old Style" w:hAnsi="Bookman Old Style" w:cs="Times New Roman"/>
          <w:b/>
          <w:u w:val="single"/>
        </w:rPr>
        <w:lastRenderedPageBreak/>
        <w:t>ANALYSIS AND FINDINGS:</w:t>
      </w:r>
    </w:p>
    <w:p w14:paraId="5A39A07C" w14:textId="77777777" w:rsidR="0008762C" w:rsidRPr="00353D3A" w:rsidRDefault="0008762C" w:rsidP="00353D3A">
      <w:pPr>
        <w:pStyle w:val="ListParagraph"/>
        <w:numPr>
          <w:ilvl w:val="0"/>
          <w:numId w:val="3"/>
        </w:numPr>
        <w:spacing w:after="200" w:line="480" w:lineRule="auto"/>
        <w:contextualSpacing w:val="0"/>
        <w:jc w:val="both"/>
        <w:rPr>
          <w:rFonts w:ascii="Bookman Old Style" w:hAnsi="Bookman Old Style" w:cs="Times New Roman"/>
        </w:rPr>
      </w:pPr>
      <w:r w:rsidRPr="00353D3A">
        <w:rPr>
          <w:rFonts w:ascii="Bookman Old Style" w:hAnsi="Bookman Old Style" w:cs="Times New Roman"/>
        </w:rPr>
        <w:t>Section 105 of the Transfer of Property Act, reads:</w:t>
      </w:r>
    </w:p>
    <w:p w14:paraId="6FCEA909" w14:textId="77777777" w:rsidR="0008762C" w:rsidRPr="00DD4909" w:rsidRDefault="0008762C" w:rsidP="00353D3A">
      <w:pPr>
        <w:spacing w:after="200"/>
        <w:ind w:left="851" w:right="851"/>
        <w:jc w:val="both"/>
        <w:rPr>
          <w:rFonts w:ascii="Bookman Old Style" w:hAnsi="Bookman Old Style" w:cs="Times New Roman"/>
        </w:rPr>
      </w:pPr>
      <w:r w:rsidRPr="00DD4909">
        <w:rPr>
          <w:rFonts w:ascii="Bookman Old Style" w:hAnsi="Bookman Old Style" w:cs="Times New Roman"/>
        </w:rPr>
        <w:t>“A lease of immovable property is a transfer of a right to enjoy such property, made for a certain time, express or implied, or in perpetuity, in consideration of a price paid or promised or of money, a share of crops, service or any other thing of value to be rendered periodically, or on specified occasions to the transferor by the transferee, who accepts the transfer on such terms.</w:t>
      </w:r>
    </w:p>
    <w:p w14:paraId="66379F00" w14:textId="77777777" w:rsidR="0008762C" w:rsidRPr="00DD4909" w:rsidRDefault="0008762C" w:rsidP="00353D3A">
      <w:pPr>
        <w:spacing w:after="200"/>
        <w:ind w:left="851" w:right="851"/>
        <w:jc w:val="both"/>
        <w:rPr>
          <w:rFonts w:ascii="Bookman Old Style" w:hAnsi="Bookman Old Style" w:cs="Times New Roman"/>
        </w:rPr>
      </w:pPr>
      <w:r w:rsidRPr="00DD4909">
        <w:rPr>
          <w:rFonts w:ascii="Bookman Old Style" w:hAnsi="Bookman Old Style" w:cs="Times New Roman"/>
        </w:rPr>
        <w:t xml:space="preserve">The transferor is called the lessor, the </w:t>
      </w:r>
      <w:proofErr w:type="spellStart"/>
      <w:r w:rsidRPr="00DD4909">
        <w:rPr>
          <w:rFonts w:ascii="Bookman Old Style" w:hAnsi="Bookman Old Style" w:cs="Times New Roman"/>
        </w:rPr>
        <w:t>transfree</w:t>
      </w:r>
      <w:proofErr w:type="spellEnd"/>
      <w:r w:rsidRPr="00DD4909">
        <w:rPr>
          <w:rFonts w:ascii="Bookman Old Style" w:hAnsi="Bookman Old Style" w:cs="Times New Roman"/>
        </w:rPr>
        <w:t xml:space="preserve"> is called the lessee, the price is called the premium, and the money, </w:t>
      </w:r>
      <w:proofErr w:type="gramStart"/>
      <w:r w:rsidRPr="00DD4909">
        <w:rPr>
          <w:rFonts w:ascii="Bookman Old Style" w:hAnsi="Bookman Old Style" w:cs="Times New Roman"/>
        </w:rPr>
        <w:t>share</w:t>
      </w:r>
      <w:proofErr w:type="gramEnd"/>
      <w:r w:rsidRPr="00DD4909">
        <w:rPr>
          <w:rFonts w:ascii="Bookman Old Style" w:hAnsi="Bookman Old Style" w:cs="Times New Roman"/>
        </w:rPr>
        <w:t>, service or any other thing to be so rendered is called the rent.”</w:t>
      </w:r>
    </w:p>
    <w:p w14:paraId="7EDBB004" w14:textId="77777777" w:rsidR="0008762C" w:rsidRPr="00DD4909" w:rsidRDefault="0008762C" w:rsidP="00353D3A">
      <w:pPr>
        <w:pStyle w:val="ListParagraph"/>
        <w:numPr>
          <w:ilvl w:val="0"/>
          <w:numId w:val="3"/>
        </w:numPr>
        <w:spacing w:after="200" w:line="480" w:lineRule="auto"/>
        <w:contextualSpacing w:val="0"/>
        <w:jc w:val="both"/>
        <w:rPr>
          <w:rFonts w:ascii="Bookman Old Style" w:hAnsi="Bookman Old Style" w:cs="Times New Roman"/>
        </w:rPr>
      </w:pPr>
      <w:r w:rsidRPr="00DD4909">
        <w:rPr>
          <w:rFonts w:ascii="Bookman Old Style" w:hAnsi="Bookman Old Style" w:cs="Times New Roman"/>
        </w:rPr>
        <w:t>Section 52 of the Easements Act reads:</w:t>
      </w:r>
    </w:p>
    <w:p w14:paraId="4CFC94AB" w14:textId="77777777" w:rsidR="0008762C" w:rsidRPr="00DD4909" w:rsidRDefault="0008762C" w:rsidP="00353D3A">
      <w:pPr>
        <w:spacing w:after="200"/>
        <w:ind w:left="851" w:right="851"/>
        <w:jc w:val="both"/>
        <w:rPr>
          <w:rFonts w:ascii="Bookman Old Style" w:hAnsi="Bookman Old Style" w:cs="Times New Roman"/>
        </w:rPr>
      </w:pPr>
      <w:r w:rsidRPr="00DD4909">
        <w:rPr>
          <w:rFonts w:ascii="Bookman Old Style" w:hAnsi="Bookman Old Style" w:cs="Times New Roman"/>
        </w:rPr>
        <w:t xml:space="preserve">“Where one person grants to another or to a definite number of other persons a right to do or continue to do, in or upon the immovable property of the grantor, something which would, in the absence of such right be unlawful, and such right does not amount to an easement or an interest in the property, the right is called a </w:t>
      </w:r>
      <w:proofErr w:type="spellStart"/>
      <w:r w:rsidRPr="00DD4909">
        <w:rPr>
          <w:rFonts w:ascii="Bookman Old Style" w:hAnsi="Bookman Old Style" w:cs="Times New Roman"/>
        </w:rPr>
        <w:t>licence</w:t>
      </w:r>
      <w:proofErr w:type="spellEnd"/>
      <w:r w:rsidRPr="00DD4909">
        <w:rPr>
          <w:rFonts w:ascii="Bookman Old Style" w:hAnsi="Bookman Old Style" w:cs="Times New Roman"/>
        </w:rPr>
        <w:t>.”</w:t>
      </w:r>
    </w:p>
    <w:p w14:paraId="1C909C9B" w14:textId="77777777" w:rsidR="00353D3A" w:rsidRDefault="0008762C" w:rsidP="00353D3A">
      <w:pPr>
        <w:pStyle w:val="ListParagraph"/>
        <w:numPr>
          <w:ilvl w:val="0"/>
          <w:numId w:val="3"/>
        </w:numPr>
        <w:spacing w:after="200" w:line="480" w:lineRule="auto"/>
        <w:contextualSpacing w:val="0"/>
        <w:jc w:val="both"/>
        <w:rPr>
          <w:rFonts w:ascii="Bookman Old Style" w:hAnsi="Bookman Old Style" w:cs="Times New Roman"/>
        </w:rPr>
      </w:pPr>
      <w:r w:rsidRPr="00DD4909">
        <w:rPr>
          <w:rFonts w:ascii="Bookman Old Style" w:hAnsi="Bookman Old Style" w:cs="Times New Roman"/>
        </w:rPr>
        <w:t xml:space="preserve">If we focus our attention only upon the question of rights in the above two definitions, we find that in both cases there is a transfer of a right. It may be noted that in a lease the Right consists in enjoying such property transferred, and so also in a </w:t>
      </w:r>
      <w:proofErr w:type="spellStart"/>
      <w:r w:rsidRPr="00DD4909">
        <w:rPr>
          <w:rFonts w:ascii="Bookman Old Style" w:hAnsi="Bookman Old Style" w:cs="Times New Roman"/>
        </w:rPr>
        <w:t>licence</w:t>
      </w:r>
      <w:proofErr w:type="spellEnd"/>
      <w:r w:rsidRPr="00DD4909">
        <w:rPr>
          <w:rFonts w:ascii="Bookman Old Style" w:hAnsi="Bookman Old Style" w:cs="Times New Roman"/>
        </w:rPr>
        <w:t xml:space="preserve"> the Right consists in doing something in or upon the immovable property of the Licensor, though without the creation of an interest in the property.</w:t>
      </w:r>
    </w:p>
    <w:p w14:paraId="6BBA1790" w14:textId="77777777" w:rsidR="00353D3A" w:rsidRDefault="0008762C" w:rsidP="00353D3A">
      <w:pPr>
        <w:pStyle w:val="ListParagraph"/>
        <w:numPr>
          <w:ilvl w:val="0"/>
          <w:numId w:val="3"/>
        </w:numPr>
        <w:spacing w:after="200" w:line="480" w:lineRule="auto"/>
        <w:contextualSpacing w:val="0"/>
        <w:jc w:val="both"/>
        <w:rPr>
          <w:rFonts w:ascii="Bookman Old Style" w:hAnsi="Bookman Old Style" w:cs="Times New Roman"/>
        </w:rPr>
      </w:pPr>
      <w:r w:rsidRPr="00353D3A">
        <w:rPr>
          <w:rFonts w:ascii="Bookman Old Style" w:hAnsi="Bookman Old Style" w:cs="Times New Roman"/>
        </w:rPr>
        <w:t xml:space="preserve">Although it is not clearly stated that a lease creates an interest in the property, inasmuch as the opposite is stated in case of a </w:t>
      </w:r>
      <w:r w:rsidR="00353D3A" w:rsidRPr="00353D3A">
        <w:rPr>
          <w:rFonts w:ascii="Bookman Old Style" w:hAnsi="Bookman Old Style" w:cs="Times New Roman"/>
        </w:rPr>
        <w:t>license</w:t>
      </w:r>
      <w:r w:rsidRPr="00353D3A">
        <w:rPr>
          <w:rFonts w:ascii="Bookman Old Style" w:hAnsi="Bookman Old Style" w:cs="Times New Roman"/>
        </w:rPr>
        <w:t xml:space="preserve">, yet by judicial dicta we have come to believe that </w:t>
      </w:r>
      <w:r w:rsidRPr="00353D3A">
        <w:rPr>
          <w:rFonts w:ascii="Bookman Old Style" w:hAnsi="Bookman Old Style" w:cs="Times New Roman"/>
        </w:rPr>
        <w:lastRenderedPageBreak/>
        <w:t xml:space="preserve">a lease creates an interest in the property merely to highlight a contradistinction between a lease and a </w:t>
      </w:r>
      <w:r w:rsidR="00353D3A" w:rsidRPr="00353D3A">
        <w:rPr>
          <w:rFonts w:ascii="Bookman Old Style" w:hAnsi="Bookman Old Style" w:cs="Times New Roman"/>
        </w:rPr>
        <w:t>license</w:t>
      </w:r>
      <w:r w:rsidRPr="00353D3A">
        <w:rPr>
          <w:rFonts w:ascii="Bookman Old Style" w:hAnsi="Bookman Old Style" w:cs="Times New Roman"/>
        </w:rPr>
        <w:t xml:space="preserve">. We have, therefore, imputed such creation of a right or interest in the property, not due to the existence of a positive statement to that effect in the definition of a lease, but merely because of the statement of its non-creation in case of a </w:t>
      </w:r>
      <w:r w:rsidR="00353D3A" w:rsidRPr="00353D3A">
        <w:rPr>
          <w:rFonts w:ascii="Bookman Old Style" w:hAnsi="Bookman Old Style" w:cs="Times New Roman"/>
        </w:rPr>
        <w:t>license</w:t>
      </w:r>
      <w:r w:rsidRPr="00353D3A">
        <w:rPr>
          <w:rFonts w:ascii="Bookman Old Style" w:hAnsi="Bookman Old Style" w:cs="Times New Roman"/>
        </w:rPr>
        <w:t>.</w:t>
      </w:r>
    </w:p>
    <w:p w14:paraId="19A534A4" w14:textId="77777777" w:rsidR="00353D3A" w:rsidRDefault="0008762C" w:rsidP="00353D3A">
      <w:pPr>
        <w:pStyle w:val="ListParagraph"/>
        <w:numPr>
          <w:ilvl w:val="0"/>
          <w:numId w:val="3"/>
        </w:numPr>
        <w:spacing w:after="200" w:line="480" w:lineRule="auto"/>
        <w:contextualSpacing w:val="0"/>
        <w:jc w:val="both"/>
        <w:rPr>
          <w:rFonts w:ascii="Bookman Old Style" w:hAnsi="Bookman Old Style" w:cs="Times New Roman"/>
        </w:rPr>
      </w:pPr>
      <w:r w:rsidRPr="00353D3A">
        <w:rPr>
          <w:rFonts w:ascii="Bookman Old Style" w:hAnsi="Bookman Old Style" w:cs="Times New Roman"/>
        </w:rPr>
        <w:t xml:space="preserve">This imputation of the creation of a right in the property in case of lease, is in reality a high overtone because all that follows from the definition is that the transfer is solely of ‘a right to enjoy’ which is equivalent to the ‘right to do so, in or upon the immovable property,’ as stated in the definition of a </w:t>
      </w:r>
      <w:r w:rsidR="00353D3A" w:rsidRPr="00353D3A">
        <w:rPr>
          <w:rFonts w:ascii="Bookman Old Style" w:hAnsi="Bookman Old Style" w:cs="Times New Roman"/>
        </w:rPr>
        <w:t>license</w:t>
      </w:r>
      <w:r w:rsidRPr="00353D3A">
        <w:rPr>
          <w:rFonts w:ascii="Bookman Old Style" w:hAnsi="Bookman Old Style" w:cs="Times New Roman"/>
        </w:rPr>
        <w:t>.</w:t>
      </w:r>
    </w:p>
    <w:p w14:paraId="68F9C7A2" w14:textId="77777777" w:rsidR="000D5235" w:rsidRDefault="0008762C" w:rsidP="000D5235">
      <w:pPr>
        <w:pStyle w:val="ListParagraph"/>
        <w:numPr>
          <w:ilvl w:val="0"/>
          <w:numId w:val="3"/>
        </w:numPr>
        <w:spacing w:after="200" w:line="480" w:lineRule="auto"/>
        <w:contextualSpacing w:val="0"/>
        <w:jc w:val="both"/>
        <w:rPr>
          <w:rFonts w:ascii="Bookman Old Style" w:hAnsi="Bookman Old Style" w:cs="Times New Roman"/>
        </w:rPr>
      </w:pPr>
      <w:r w:rsidRPr="00353D3A">
        <w:rPr>
          <w:rFonts w:ascii="Bookman Old Style" w:hAnsi="Bookman Old Style" w:cs="Times New Roman"/>
        </w:rPr>
        <w:t xml:space="preserve">Considering that the Transfer of Property Act and the Indian Easements Act, were both passed in the same year, 1882, obviously the concept of a Right would not have been different. We cannot conceive that a lease gives a right to enjoy the property in any manner the transferee feels best, as against a licensee who could have his rights directed in a particular manner as per the terms of the grant. In fact, </w:t>
      </w:r>
      <w:r w:rsidR="00353D3A">
        <w:rPr>
          <w:rFonts w:ascii="Bookman Old Style" w:hAnsi="Bookman Old Style" w:cs="Times New Roman"/>
        </w:rPr>
        <w:t>it is</w:t>
      </w:r>
      <w:r w:rsidRPr="00353D3A">
        <w:rPr>
          <w:rFonts w:ascii="Bookman Old Style" w:hAnsi="Bookman Old Style" w:cs="Times New Roman"/>
        </w:rPr>
        <w:t xml:space="preserve"> quite </w:t>
      </w:r>
      <w:r w:rsidR="00353D3A">
        <w:rPr>
          <w:rFonts w:ascii="Bookman Old Style" w:hAnsi="Bookman Old Style" w:cs="Times New Roman"/>
        </w:rPr>
        <w:t xml:space="preserve">clear </w:t>
      </w:r>
      <w:r w:rsidRPr="00353D3A">
        <w:rPr>
          <w:rFonts w:ascii="Bookman Old Style" w:hAnsi="Bookman Old Style" w:cs="Times New Roman"/>
        </w:rPr>
        <w:t xml:space="preserve">that if a tenant does any alteration/modification/improvement, etc., he does so at his own risk, since he does not have any property rights over the subject-matter of the demise, and he would not be allowed to contend that he had rights in the property due to which he did the alteration/modification. As long as he keeps on paying the rent, the dichotomy of owner </w:t>
      </w:r>
      <w:r w:rsidRPr="00353D3A">
        <w:rPr>
          <w:rFonts w:ascii="Bookman Old Style" w:hAnsi="Bookman Old Style" w:cs="Times New Roman"/>
        </w:rPr>
        <w:lastRenderedPageBreak/>
        <w:t>and tenant shall subsist and consequently his interest in the property is in no way better as that of the licensee.</w:t>
      </w:r>
    </w:p>
    <w:p w14:paraId="0E70C0ED" w14:textId="77777777" w:rsidR="004E730D" w:rsidRDefault="0008762C" w:rsidP="004E730D">
      <w:pPr>
        <w:pStyle w:val="ListParagraph"/>
        <w:numPr>
          <w:ilvl w:val="0"/>
          <w:numId w:val="3"/>
        </w:numPr>
        <w:spacing w:after="200" w:line="480" w:lineRule="auto"/>
        <w:contextualSpacing w:val="0"/>
        <w:jc w:val="both"/>
        <w:rPr>
          <w:rFonts w:ascii="Bookman Old Style" w:hAnsi="Bookman Old Style" w:cs="Times New Roman"/>
        </w:rPr>
      </w:pPr>
      <w:r w:rsidRPr="000D5235">
        <w:rPr>
          <w:rFonts w:ascii="Bookman Old Style" w:hAnsi="Bookman Old Style" w:cs="Times New Roman"/>
        </w:rPr>
        <w:t xml:space="preserve">The statement, therefore, that a lease alone creates interest in the land and that the </w:t>
      </w:r>
      <w:r w:rsidR="000D5235" w:rsidRPr="000D5235">
        <w:rPr>
          <w:rFonts w:ascii="Bookman Old Style" w:hAnsi="Bookman Old Style" w:cs="Times New Roman"/>
        </w:rPr>
        <w:t>license</w:t>
      </w:r>
      <w:r w:rsidRPr="000D5235">
        <w:rPr>
          <w:rFonts w:ascii="Bookman Old Style" w:hAnsi="Bookman Old Style" w:cs="Times New Roman"/>
        </w:rPr>
        <w:t xml:space="preserve"> does not so create, is definitely a high overtone due to the laying of too great an emphasis on the words “does not amount to an easement or an interest in the property” as found in the definition of a </w:t>
      </w:r>
      <w:r w:rsidR="000D5235" w:rsidRPr="000D5235">
        <w:rPr>
          <w:rFonts w:ascii="Bookman Old Style" w:hAnsi="Bookman Old Style" w:cs="Times New Roman"/>
        </w:rPr>
        <w:t>license</w:t>
      </w:r>
      <w:r w:rsidRPr="000D5235">
        <w:rPr>
          <w:rFonts w:ascii="Bookman Old Style" w:hAnsi="Bookman Old Style" w:cs="Times New Roman"/>
        </w:rPr>
        <w:t>, as against its absence in the definition of a lease.</w:t>
      </w:r>
      <w:r w:rsidR="003040A5">
        <w:rPr>
          <w:rFonts w:ascii="Bookman Old Style" w:hAnsi="Bookman Old Style" w:cs="Times New Roman"/>
        </w:rPr>
        <w:t xml:space="preserve"> </w:t>
      </w:r>
    </w:p>
    <w:p w14:paraId="10D75B2C" w14:textId="72540684" w:rsidR="00A37C7D" w:rsidRPr="00A37C7D" w:rsidRDefault="00A37C7D" w:rsidP="00A37C7D">
      <w:pPr>
        <w:pStyle w:val="ListParagraph"/>
        <w:numPr>
          <w:ilvl w:val="0"/>
          <w:numId w:val="3"/>
        </w:numPr>
        <w:spacing w:after="200" w:line="480" w:lineRule="auto"/>
        <w:contextualSpacing w:val="0"/>
        <w:jc w:val="both"/>
        <w:rPr>
          <w:rFonts w:ascii="Bookman Old Style" w:hAnsi="Bookman Old Style" w:cs="Times New Roman"/>
        </w:rPr>
      </w:pPr>
      <w:r w:rsidRPr="00A37C7D">
        <w:rPr>
          <w:rFonts w:ascii="Bookman Old Style" w:hAnsi="Bookman Old Style" w:cs="Times New Roman"/>
        </w:rPr>
        <w:t xml:space="preserve">In </w:t>
      </w:r>
      <w:r w:rsidRPr="00A37C7D">
        <w:rPr>
          <w:rFonts w:ascii="Bookman Old Style" w:hAnsi="Bookman Old Style" w:cs="Times New Roman"/>
          <w:b/>
          <w:i/>
        </w:rPr>
        <w:t>Associated Hotels</w:t>
      </w:r>
      <w:r w:rsidRPr="00A37C7D">
        <w:rPr>
          <w:rFonts w:ascii="Bookman Old Style" w:hAnsi="Bookman Old Style" w:cs="Times New Roman"/>
        </w:rPr>
        <w:t xml:space="preserve"> (supra) the </w:t>
      </w:r>
      <w:r w:rsidR="00964C15">
        <w:rPr>
          <w:rFonts w:ascii="Bookman Old Style" w:hAnsi="Bookman Old Style" w:cs="Times New Roman"/>
        </w:rPr>
        <w:t xml:space="preserve">Supreme </w:t>
      </w:r>
      <w:r w:rsidRPr="00A37C7D">
        <w:rPr>
          <w:rFonts w:ascii="Bookman Old Style" w:hAnsi="Bookman Old Style" w:cs="Times New Roman"/>
        </w:rPr>
        <w:t>Court re</w:t>
      </w:r>
      <w:r>
        <w:rPr>
          <w:rFonts w:ascii="Bookman Old Style" w:hAnsi="Bookman Old Style" w:cs="Times New Roman"/>
        </w:rPr>
        <w:t xml:space="preserve">ferred to the </w:t>
      </w:r>
      <w:r w:rsidRPr="00A37C7D">
        <w:rPr>
          <w:rFonts w:ascii="Bookman Old Style" w:hAnsi="Bookman Old Style" w:cs="Times New Roman"/>
        </w:rPr>
        <w:t>differe</w:t>
      </w:r>
      <w:r>
        <w:rPr>
          <w:rFonts w:ascii="Bookman Old Style" w:hAnsi="Bookman Old Style" w:cs="Times New Roman"/>
        </w:rPr>
        <w:t xml:space="preserve">nce between a lease and </w:t>
      </w:r>
      <w:r w:rsidR="00964C15">
        <w:rPr>
          <w:rFonts w:ascii="Bookman Old Style" w:hAnsi="Bookman Old Style" w:cs="Times New Roman"/>
        </w:rPr>
        <w:t>license</w:t>
      </w:r>
      <w:r>
        <w:rPr>
          <w:rFonts w:ascii="Bookman Old Style" w:hAnsi="Bookman Old Style" w:cs="Times New Roman"/>
        </w:rPr>
        <w:t xml:space="preserve"> and observed thus</w:t>
      </w:r>
      <w:r w:rsidRPr="00A37C7D">
        <w:rPr>
          <w:rFonts w:ascii="Bookman Old Style" w:hAnsi="Bookman Old Style" w:cs="Times New Roman"/>
        </w:rPr>
        <w:t>:</w:t>
      </w:r>
    </w:p>
    <w:p w14:paraId="23A71472" w14:textId="4BCE05D5" w:rsidR="00A37C7D" w:rsidRPr="00A37C7D" w:rsidRDefault="00A37C7D" w:rsidP="00A37C7D">
      <w:pPr>
        <w:spacing w:after="200"/>
        <w:ind w:left="851" w:right="851"/>
        <w:jc w:val="both"/>
        <w:rPr>
          <w:rFonts w:ascii="Bookman Old Style" w:hAnsi="Bookman Old Style" w:cs="Times New Roman"/>
        </w:rPr>
      </w:pPr>
      <w:r w:rsidRPr="00A37C7D">
        <w:rPr>
          <w:rFonts w:ascii="Bookman Old Style" w:hAnsi="Bookman Old Style" w:cs="Times New Roman"/>
        </w:rPr>
        <w:t xml:space="preserve">There is a marked distinction between a lease and a </w:t>
      </w:r>
      <w:r w:rsidR="00964C15" w:rsidRPr="00A37C7D">
        <w:rPr>
          <w:rFonts w:ascii="Bookman Old Style" w:hAnsi="Bookman Old Style" w:cs="Times New Roman"/>
        </w:rPr>
        <w:t>license</w:t>
      </w:r>
      <w:r w:rsidRPr="00A37C7D">
        <w:rPr>
          <w:rFonts w:ascii="Bookman Old Style" w:hAnsi="Bookman Old Style" w:cs="Times New Roman"/>
        </w:rPr>
        <w:t xml:space="preserve">. Section 105 of the Transfer of Property Act defines a lease of immovable property as a transfer of a right to enjoy such </w:t>
      </w:r>
      <w:proofErr w:type="gramStart"/>
      <w:r w:rsidRPr="00A37C7D">
        <w:rPr>
          <w:rFonts w:ascii="Bookman Old Style" w:hAnsi="Bookman Old Style" w:cs="Times New Roman"/>
        </w:rPr>
        <w:t>property</w:t>
      </w:r>
      <w:proofErr w:type="gramEnd"/>
      <w:r w:rsidRPr="00A37C7D">
        <w:rPr>
          <w:rFonts w:ascii="Bookman Old Style" w:hAnsi="Bookman Old Style" w:cs="Times New Roman"/>
        </w:rPr>
        <w:t xml:space="preserve"> made for a certain time in consideration for a price paid or promised. Under Section 108 of the said Act, the lessee is entitled to be put in possession of the property. A lease is therefore a transfer of an interest in land. The interest transferred is called the leasehold interest. The lessor parts with his right to enjoy the property during the term of the lease, and it follows from it that the lessee gets that right to the exclusion of the lessor....</w:t>
      </w:r>
    </w:p>
    <w:p w14:paraId="261EC76E" w14:textId="05A55BEB" w:rsidR="00A37C7D" w:rsidRPr="00964C15" w:rsidRDefault="00A37C7D" w:rsidP="00964C15">
      <w:pPr>
        <w:pStyle w:val="ListParagraph"/>
        <w:numPr>
          <w:ilvl w:val="0"/>
          <w:numId w:val="3"/>
        </w:numPr>
        <w:spacing w:after="200" w:line="480" w:lineRule="auto"/>
        <w:contextualSpacing w:val="0"/>
        <w:jc w:val="both"/>
        <w:rPr>
          <w:rFonts w:ascii="Bookman Old Style" w:hAnsi="Bookman Old Style" w:cs="Times New Roman"/>
        </w:rPr>
      </w:pPr>
      <w:r w:rsidRPr="00A37C7D">
        <w:rPr>
          <w:rFonts w:ascii="Bookman Old Style" w:hAnsi="Bookman Old Style" w:cs="Times New Roman"/>
        </w:rPr>
        <w:t xml:space="preserve">After referring to the definition of </w:t>
      </w:r>
      <w:proofErr w:type="spellStart"/>
      <w:r w:rsidRPr="00A37C7D">
        <w:rPr>
          <w:rFonts w:ascii="Bookman Old Style" w:hAnsi="Bookman Old Style" w:cs="Times New Roman"/>
        </w:rPr>
        <w:t>licence</w:t>
      </w:r>
      <w:proofErr w:type="spellEnd"/>
      <w:r w:rsidRPr="00A37C7D">
        <w:rPr>
          <w:rFonts w:ascii="Bookman Old Style" w:hAnsi="Bookman Old Style" w:cs="Times New Roman"/>
        </w:rPr>
        <w:t xml:space="preserve"> in Section 52 of the Easement Act, </w:t>
      </w:r>
      <w:r w:rsidR="00964C15">
        <w:rPr>
          <w:rFonts w:ascii="Bookman Old Style" w:hAnsi="Bookman Old Style" w:cs="Times New Roman"/>
        </w:rPr>
        <w:t>the</w:t>
      </w:r>
      <w:r w:rsidRPr="00A37C7D">
        <w:rPr>
          <w:rFonts w:ascii="Bookman Old Style" w:hAnsi="Bookman Old Style" w:cs="Times New Roman"/>
        </w:rPr>
        <w:t xml:space="preserve"> Court held:</w:t>
      </w:r>
    </w:p>
    <w:p w14:paraId="05D59976" w14:textId="348C2873" w:rsidR="00A37C7D" w:rsidRPr="00A37C7D" w:rsidRDefault="00964C15" w:rsidP="00A37C7D">
      <w:pPr>
        <w:spacing w:after="200"/>
        <w:ind w:left="851" w:right="851"/>
        <w:jc w:val="both"/>
        <w:rPr>
          <w:rFonts w:ascii="Bookman Old Style" w:hAnsi="Bookman Old Style" w:cs="Times New Roman"/>
        </w:rPr>
      </w:pPr>
      <w:r>
        <w:rPr>
          <w:rFonts w:ascii="Bookman Old Style" w:hAnsi="Bookman Old Style" w:cs="Times New Roman"/>
        </w:rPr>
        <w:t>“</w:t>
      </w:r>
      <w:r w:rsidR="00A37C7D" w:rsidRPr="00A37C7D">
        <w:rPr>
          <w:rFonts w:ascii="Bookman Old Style" w:hAnsi="Bookman Old Style" w:cs="Times New Roman"/>
        </w:rPr>
        <w:t xml:space="preserve">Under the aforesaid section, if a document gives only a right to use the property in a particular way or under certain terms while it remains in possession and control of the owner thereof, it will be a </w:t>
      </w:r>
      <w:proofErr w:type="spellStart"/>
      <w:r w:rsidR="00A37C7D" w:rsidRPr="00A37C7D">
        <w:rPr>
          <w:rFonts w:ascii="Bookman Old Style" w:hAnsi="Bookman Old Style" w:cs="Times New Roman"/>
        </w:rPr>
        <w:t>licence</w:t>
      </w:r>
      <w:proofErr w:type="spellEnd"/>
      <w:r w:rsidR="00A37C7D" w:rsidRPr="00A37C7D">
        <w:rPr>
          <w:rFonts w:ascii="Bookman Old Style" w:hAnsi="Bookman Old Style" w:cs="Times New Roman"/>
        </w:rPr>
        <w:t xml:space="preserve">. The legal possession, therefore, continues to be with the owner of the property, but the licensee is permitted to make use of the premises for a particular purpose. But for the permission, his occupation would be unlawful. It does not create in his </w:t>
      </w:r>
      <w:proofErr w:type="spellStart"/>
      <w:r w:rsidR="00A37C7D" w:rsidRPr="00A37C7D">
        <w:rPr>
          <w:rFonts w:ascii="Bookman Old Style" w:hAnsi="Bookman Old Style" w:cs="Times New Roman"/>
        </w:rPr>
        <w:t>favour</w:t>
      </w:r>
      <w:proofErr w:type="spellEnd"/>
      <w:r w:rsidR="00A37C7D" w:rsidRPr="00A37C7D">
        <w:rPr>
          <w:rFonts w:ascii="Bookman Old Style" w:hAnsi="Bookman Old Style" w:cs="Times New Roman"/>
        </w:rPr>
        <w:t xml:space="preserve"> any estate or interest in the property. There is, therefore, clear distinction between </w:t>
      </w:r>
      <w:r w:rsidR="00A37C7D" w:rsidRPr="00A37C7D">
        <w:rPr>
          <w:rFonts w:ascii="Bookman Old Style" w:hAnsi="Bookman Old Style" w:cs="Times New Roman"/>
        </w:rPr>
        <w:lastRenderedPageBreak/>
        <w:t xml:space="preserve">the two concepts. The dividing line is clear though sometimes it becomes very thin or even blurred. At one time it was thought that the test of exclusive possession was infallible and if a person </w:t>
      </w:r>
      <w:proofErr w:type="gramStart"/>
      <w:r w:rsidR="00A37C7D" w:rsidRPr="00A37C7D">
        <w:rPr>
          <w:rFonts w:ascii="Bookman Old Style" w:hAnsi="Bookman Old Style" w:cs="Times New Roman"/>
        </w:rPr>
        <w:t>was</w:t>
      </w:r>
      <w:proofErr w:type="gramEnd"/>
      <w:r w:rsidR="00A37C7D" w:rsidRPr="00A37C7D">
        <w:rPr>
          <w:rFonts w:ascii="Bookman Old Style" w:hAnsi="Bookman Old Style" w:cs="Times New Roman"/>
        </w:rPr>
        <w:t xml:space="preserve"> given exclusive possession of a premises, it would conclusively establish that he was a lessee. But there was a change and the recent trend of judicial opinion is reflected in </w:t>
      </w:r>
      <w:proofErr w:type="spellStart"/>
      <w:r w:rsidR="00A37C7D" w:rsidRPr="00A37C7D">
        <w:rPr>
          <w:rFonts w:ascii="Bookman Old Style" w:hAnsi="Bookman Old Style" w:cs="Times New Roman"/>
        </w:rPr>
        <w:t>Errington</w:t>
      </w:r>
      <w:proofErr w:type="spellEnd"/>
      <w:r w:rsidR="00A37C7D" w:rsidRPr="00A37C7D">
        <w:rPr>
          <w:rFonts w:ascii="Bookman Old Style" w:hAnsi="Bookman Old Style" w:cs="Times New Roman"/>
        </w:rPr>
        <w:t xml:space="preserve"> v. </w:t>
      </w:r>
      <w:proofErr w:type="spellStart"/>
      <w:r w:rsidR="00A37C7D" w:rsidRPr="00A37C7D">
        <w:rPr>
          <w:rFonts w:ascii="Bookman Old Style" w:hAnsi="Bookman Old Style" w:cs="Times New Roman"/>
        </w:rPr>
        <w:t>Errington</w:t>
      </w:r>
      <w:proofErr w:type="spellEnd"/>
      <w:r w:rsidR="00A37C7D" w:rsidRPr="00A37C7D">
        <w:rPr>
          <w:rFonts w:ascii="Bookman Old Style" w:hAnsi="Bookman Old Style" w:cs="Times New Roman"/>
        </w:rPr>
        <w:t xml:space="preserve"> (1952) 1 All E.R. 149, wherein Lord Denning reviewing the case law on the subject summarizes the result of his discussion thus at p. 155:</w:t>
      </w:r>
    </w:p>
    <w:p w14:paraId="6E6CF6D1" w14:textId="77777777" w:rsidR="00A37C7D" w:rsidRPr="00A37C7D" w:rsidRDefault="00A37C7D" w:rsidP="00A37C7D">
      <w:pPr>
        <w:spacing w:after="200"/>
        <w:ind w:left="851" w:right="851"/>
        <w:jc w:val="both"/>
        <w:rPr>
          <w:rFonts w:ascii="Bookman Old Style" w:hAnsi="Bookman Old Style" w:cs="Times New Roman"/>
        </w:rPr>
      </w:pPr>
    </w:p>
    <w:p w14:paraId="65459D8B" w14:textId="5085A284" w:rsidR="00A37C7D" w:rsidRDefault="00A37C7D" w:rsidP="00A37C7D">
      <w:pPr>
        <w:spacing w:after="200"/>
        <w:ind w:left="851" w:right="851"/>
        <w:jc w:val="both"/>
        <w:rPr>
          <w:rFonts w:ascii="Bookman Old Style" w:hAnsi="Bookman Old Style" w:cs="Times New Roman"/>
        </w:rPr>
      </w:pPr>
      <w:r w:rsidRPr="00A37C7D">
        <w:rPr>
          <w:rFonts w:ascii="Bookman Old Style" w:hAnsi="Bookman Old Style" w:cs="Times New Roman"/>
        </w:rPr>
        <w:t>The result of all these cases is that, although a person who is let into exclusive possession is, prima facie, to be considered to be tenant, nevertheless he will not be held to be so if the circumstances negative any intention to create a tenancy.</w:t>
      </w:r>
      <w:r w:rsidR="00964C15">
        <w:rPr>
          <w:rFonts w:ascii="Bookman Old Style" w:hAnsi="Bookman Old Style" w:cs="Times New Roman"/>
        </w:rPr>
        <w:t>”</w:t>
      </w:r>
    </w:p>
    <w:p w14:paraId="3DC5829F" w14:textId="77777777" w:rsidR="00964C15" w:rsidRDefault="00964C15" w:rsidP="00964C15">
      <w:pPr>
        <w:spacing w:after="200"/>
        <w:ind w:right="851"/>
        <w:jc w:val="both"/>
        <w:rPr>
          <w:rFonts w:ascii="Bookman Old Style" w:hAnsi="Bookman Old Style" w:cs="Times New Roman"/>
        </w:rPr>
      </w:pPr>
    </w:p>
    <w:p w14:paraId="33C3FAAC" w14:textId="0562E46C" w:rsidR="00964C15" w:rsidRPr="00A37C7D" w:rsidRDefault="00964C15" w:rsidP="00964C15">
      <w:pPr>
        <w:spacing w:after="200"/>
        <w:ind w:right="851"/>
        <w:jc w:val="both"/>
        <w:rPr>
          <w:rFonts w:ascii="Bookman Old Style" w:hAnsi="Bookman Old Style" w:cs="Times New Roman"/>
        </w:rPr>
      </w:pPr>
      <w:r>
        <w:rPr>
          <w:rFonts w:ascii="Bookman Old Style" w:hAnsi="Bookman Old Style" w:cs="Times New Roman"/>
        </w:rPr>
        <w:t>And again:</w:t>
      </w:r>
    </w:p>
    <w:p w14:paraId="3DC38523" w14:textId="3554119D" w:rsidR="00A37C7D" w:rsidRDefault="00964C15" w:rsidP="005828D7">
      <w:pPr>
        <w:spacing w:after="200"/>
        <w:ind w:left="851" w:right="851"/>
        <w:jc w:val="both"/>
        <w:rPr>
          <w:rFonts w:ascii="Bookman Old Style" w:hAnsi="Bookman Old Style" w:cs="Times New Roman"/>
          <w:u w:val="single"/>
        </w:rPr>
      </w:pPr>
      <w:r w:rsidRPr="00431C13">
        <w:rPr>
          <w:rFonts w:ascii="Bookman Old Style" w:hAnsi="Bookman Old Style" w:cs="Times New Roman"/>
          <w:u w:val="single"/>
        </w:rPr>
        <w:t>“</w:t>
      </w:r>
      <w:r w:rsidR="00A37C7D" w:rsidRPr="00431C13">
        <w:rPr>
          <w:rFonts w:ascii="Bookman Old Style" w:hAnsi="Bookman Old Style" w:cs="Times New Roman"/>
          <w:u w:val="single"/>
        </w:rPr>
        <w:t xml:space="preserve">...The following propositions may, therefore, be taken as well-established: (1) To ascertain whether a document creates a </w:t>
      </w:r>
      <w:proofErr w:type="spellStart"/>
      <w:r w:rsidR="00A37C7D" w:rsidRPr="00431C13">
        <w:rPr>
          <w:rFonts w:ascii="Bookman Old Style" w:hAnsi="Bookman Old Style" w:cs="Times New Roman"/>
          <w:u w:val="single"/>
        </w:rPr>
        <w:t>licence</w:t>
      </w:r>
      <w:proofErr w:type="spellEnd"/>
      <w:r w:rsidR="00A37C7D" w:rsidRPr="00431C13">
        <w:rPr>
          <w:rFonts w:ascii="Bookman Old Style" w:hAnsi="Bookman Old Style" w:cs="Times New Roman"/>
          <w:u w:val="single"/>
        </w:rPr>
        <w:t xml:space="preserve"> or lease, the substance of the document must be preferred to the form; (2) the real test is the intention of the parties - whether they intended to create a lease or a </w:t>
      </w:r>
      <w:proofErr w:type="spellStart"/>
      <w:r w:rsidR="00A37C7D" w:rsidRPr="00431C13">
        <w:rPr>
          <w:rFonts w:ascii="Bookman Old Style" w:hAnsi="Bookman Old Style" w:cs="Times New Roman"/>
          <w:u w:val="single"/>
        </w:rPr>
        <w:t>licence</w:t>
      </w:r>
      <w:proofErr w:type="spellEnd"/>
      <w:r w:rsidR="00A37C7D" w:rsidRPr="00431C13">
        <w:rPr>
          <w:rFonts w:ascii="Bookman Old Style" w:hAnsi="Bookman Old Style" w:cs="Times New Roman"/>
          <w:u w:val="single"/>
        </w:rPr>
        <w:t xml:space="preserve">; (3) if the document creates an interest in the property, it is a lease; but, if it only permits another to make use of the property, of which the legal possession continues with the owner, it is a </w:t>
      </w:r>
      <w:proofErr w:type="spellStart"/>
      <w:r w:rsidR="00A37C7D" w:rsidRPr="00431C13">
        <w:rPr>
          <w:rFonts w:ascii="Bookman Old Style" w:hAnsi="Bookman Old Style" w:cs="Times New Roman"/>
          <w:u w:val="single"/>
        </w:rPr>
        <w:t>licence</w:t>
      </w:r>
      <w:proofErr w:type="spellEnd"/>
      <w:r w:rsidR="00A37C7D" w:rsidRPr="00431C13">
        <w:rPr>
          <w:rFonts w:ascii="Bookman Old Style" w:hAnsi="Bookman Old Style" w:cs="Times New Roman"/>
          <w:u w:val="single"/>
        </w:rPr>
        <w:t>; and (4) if under the document a party gets exclusive possession of the property, prima facie, he is considered to be a tenant; but circumstances may be established which negative the intention to create a lease....</w:t>
      </w:r>
      <w:r w:rsidRPr="00431C13">
        <w:rPr>
          <w:rFonts w:ascii="Bookman Old Style" w:hAnsi="Bookman Old Style" w:cs="Times New Roman"/>
          <w:u w:val="single"/>
        </w:rPr>
        <w:t>”</w:t>
      </w:r>
    </w:p>
    <w:p w14:paraId="753486FA" w14:textId="7272CC84" w:rsidR="005828D7" w:rsidRPr="005828D7" w:rsidRDefault="00431C13" w:rsidP="00431C13">
      <w:pPr>
        <w:spacing w:after="200"/>
        <w:ind w:left="851" w:right="851"/>
        <w:jc w:val="right"/>
        <w:rPr>
          <w:rFonts w:ascii="Bookman Old Style" w:hAnsi="Bookman Old Style" w:cs="Times New Roman"/>
        </w:rPr>
      </w:pPr>
      <w:r>
        <w:rPr>
          <w:rFonts w:ascii="Bookman Old Style" w:hAnsi="Bookman Old Style" w:cs="Times New Roman"/>
        </w:rPr>
        <w:t>[Emphasis Added]</w:t>
      </w:r>
    </w:p>
    <w:p w14:paraId="56E8FFD1" w14:textId="0D4117A9" w:rsidR="0008762C" w:rsidRPr="004E730D" w:rsidRDefault="0008762C" w:rsidP="00431C13">
      <w:pPr>
        <w:pStyle w:val="ListParagraph"/>
        <w:numPr>
          <w:ilvl w:val="0"/>
          <w:numId w:val="3"/>
        </w:numPr>
        <w:tabs>
          <w:tab w:val="left" w:pos="851"/>
        </w:tabs>
        <w:spacing w:after="200" w:line="480" w:lineRule="auto"/>
        <w:contextualSpacing w:val="0"/>
        <w:jc w:val="both"/>
        <w:rPr>
          <w:rFonts w:ascii="Bookman Old Style" w:hAnsi="Bookman Old Style" w:cs="Times New Roman"/>
        </w:rPr>
      </w:pPr>
      <w:r w:rsidRPr="004E730D">
        <w:rPr>
          <w:rFonts w:ascii="Bookman Old Style" w:hAnsi="Bookman Old Style" w:cs="Times New Roman"/>
        </w:rPr>
        <w:t>In the decision in </w:t>
      </w:r>
      <w:proofErr w:type="spellStart"/>
      <w:r w:rsidRPr="004E730D">
        <w:rPr>
          <w:rFonts w:ascii="Bookman Old Style" w:hAnsi="Bookman Old Style" w:cs="Times New Roman"/>
          <w:b/>
          <w:i/>
        </w:rPr>
        <w:t>Sohan</w:t>
      </w:r>
      <w:proofErr w:type="spellEnd"/>
      <w:r w:rsidRPr="004E730D">
        <w:rPr>
          <w:rFonts w:ascii="Bookman Old Style" w:hAnsi="Bookman Old Style" w:cs="Times New Roman"/>
          <w:b/>
          <w:i/>
        </w:rPr>
        <w:t xml:space="preserve"> </w:t>
      </w:r>
      <w:proofErr w:type="spellStart"/>
      <w:r w:rsidRPr="004E730D">
        <w:rPr>
          <w:rFonts w:ascii="Bookman Old Style" w:hAnsi="Bookman Old Style" w:cs="Times New Roman"/>
          <w:b/>
          <w:i/>
        </w:rPr>
        <w:t>Lal</w:t>
      </w:r>
      <w:proofErr w:type="spellEnd"/>
      <w:r w:rsidRPr="004E730D">
        <w:rPr>
          <w:rFonts w:ascii="Bookman Old Style" w:hAnsi="Bookman Old Style" w:cs="Times New Roman"/>
        </w:rPr>
        <w:t xml:space="preserve"> </w:t>
      </w:r>
      <w:r w:rsidR="004E730D">
        <w:rPr>
          <w:rFonts w:ascii="Bookman Old Style" w:hAnsi="Bookman Old Style" w:cs="Times New Roman"/>
        </w:rPr>
        <w:t>(supra)</w:t>
      </w:r>
      <w:r w:rsidRPr="004E730D">
        <w:rPr>
          <w:rFonts w:ascii="Bookman Old Style" w:hAnsi="Bookman Old Style" w:cs="Times New Roman"/>
        </w:rPr>
        <w:t xml:space="preserve">, the Supreme Court </w:t>
      </w:r>
      <w:r w:rsidR="004E730D">
        <w:rPr>
          <w:rFonts w:ascii="Bookman Old Style" w:hAnsi="Bookman Old Style" w:cs="Times New Roman"/>
        </w:rPr>
        <w:t>observed thus</w:t>
      </w:r>
      <w:r w:rsidRPr="004E730D">
        <w:rPr>
          <w:rFonts w:ascii="Bookman Old Style" w:hAnsi="Bookman Old Style" w:cs="Times New Roman"/>
        </w:rPr>
        <w:t>:</w:t>
      </w:r>
    </w:p>
    <w:p w14:paraId="43AACBFE" w14:textId="77DC9753" w:rsidR="0008762C" w:rsidRDefault="0008762C" w:rsidP="000D5235">
      <w:pPr>
        <w:spacing w:after="200"/>
        <w:ind w:left="851" w:right="851"/>
        <w:jc w:val="both"/>
        <w:rPr>
          <w:rFonts w:ascii="Bookman Old Style" w:hAnsi="Bookman Old Style" w:cs="Times New Roman"/>
        </w:rPr>
      </w:pPr>
      <w:r w:rsidRPr="00DD4909">
        <w:rPr>
          <w:rFonts w:ascii="Bookman Old Style" w:hAnsi="Bookman Old Style" w:cs="Times New Roman"/>
        </w:rPr>
        <w:t>“</w:t>
      </w:r>
      <w:r w:rsidRPr="000F5365">
        <w:rPr>
          <w:rFonts w:ascii="Bookman Old Style" w:hAnsi="Bookman Old Style" w:cs="Times New Roman"/>
          <w:u w:val="single"/>
        </w:rPr>
        <w:t xml:space="preserve">Intention of the parties to an instrument must be gathered from the terms of the agreement examined in the light of the surrounding circumstances. The description given by the parties may be evidence of their intentions but is not decisive. </w:t>
      </w:r>
      <w:r w:rsidRPr="00DD4909">
        <w:rPr>
          <w:rFonts w:ascii="Bookman Old Style" w:hAnsi="Bookman Old Style" w:cs="Times New Roman"/>
        </w:rPr>
        <w:t>Mer</w:t>
      </w:r>
      <w:r w:rsidR="00F61D9A">
        <w:rPr>
          <w:rFonts w:ascii="Bookman Old Style" w:hAnsi="Bookman Old Style" w:cs="Times New Roman"/>
        </w:rPr>
        <w:t xml:space="preserve">e </w:t>
      </w:r>
      <w:r w:rsidR="000D5235">
        <w:rPr>
          <w:rFonts w:ascii="Bookman Old Style" w:hAnsi="Bookman Old Style" w:cs="Times New Roman"/>
        </w:rPr>
        <w:t xml:space="preserve">use of the words appropriate </w:t>
      </w:r>
      <w:r w:rsidRPr="00DD4909">
        <w:rPr>
          <w:rFonts w:ascii="Bookman Old Style" w:hAnsi="Bookman Old Style" w:cs="Times New Roman"/>
        </w:rPr>
        <w:t>to the</w:t>
      </w:r>
      <w:r w:rsidR="000D5235">
        <w:rPr>
          <w:rFonts w:ascii="Bookman Old Style" w:hAnsi="Bookman Old Style" w:cs="Times New Roman"/>
        </w:rPr>
        <w:t xml:space="preserve"> </w:t>
      </w:r>
      <w:r w:rsidRPr="00DD4909">
        <w:rPr>
          <w:rFonts w:ascii="Bookman Old Style" w:hAnsi="Bookman Old Style" w:cs="Times New Roman"/>
        </w:rPr>
        <w:lastRenderedPageBreak/>
        <w:t xml:space="preserve">creation of a lease will not preclude the agreement operating as a </w:t>
      </w:r>
      <w:proofErr w:type="spellStart"/>
      <w:r w:rsidRPr="00DD4909">
        <w:rPr>
          <w:rFonts w:ascii="Bookman Old Style" w:hAnsi="Bookman Old Style" w:cs="Times New Roman"/>
        </w:rPr>
        <w:t>licence</w:t>
      </w:r>
      <w:proofErr w:type="spellEnd"/>
      <w:r w:rsidRPr="00DD4909">
        <w:rPr>
          <w:rFonts w:ascii="Bookman Old Style" w:hAnsi="Bookman Old Style" w:cs="Times New Roman"/>
        </w:rPr>
        <w:t xml:space="preserve">. A recital that the agreement does not create a tenancy is also not decisive. </w:t>
      </w:r>
      <w:r w:rsidRPr="000F5365">
        <w:rPr>
          <w:rFonts w:ascii="Bookman Old Style" w:hAnsi="Bookman Old Style" w:cs="Times New Roman"/>
          <w:u w:val="single"/>
        </w:rPr>
        <w:t xml:space="preserve">The crucial test in each case is whether the instrument is intended to create or not to create an interest in the property the </w:t>
      </w:r>
      <w:proofErr w:type="gramStart"/>
      <w:r w:rsidRPr="000F5365">
        <w:rPr>
          <w:rFonts w:ascii="Bookman Old Style" w:hAnsi="Bookman Old Style" w:cs="Times New Roman"/>
          <w:u w:val="single"/>
        </w:rPr>
        <w:t>subject-matter</w:t>
      </w:r>
      <w:proofErr w:type="gramEnd"/>
      <w:r w:rsidRPr="000F5365">
        <w:rPr>
          <w:rFonts w:ascii="Bookman Old Style" w:hAnsi="Bookman Old Style" w:cs="Times New Roman"/>
          <w:u w:val="single"/>
        </w:rPr>
        <w:t xml:space="preserve"> of the agreement. If it is in fact intended to create an interest in the property, it is a lease. If it does not it is a </w:t>
      </w:r>
      <w:proofErr w:type="spellStart"/>
      <w:r w:rsidRPr="000F5365">
        <w:rPr>
          <w:rFonts w:ascii="Bookman Old Style" w:hAnsi="Bookman Old Style" w:cs="Times New Roman"/>
          <w:u w:val="single"/>
        </w:rPr>
        <w:t>licence</w:t>
      </w:r>
      <w:proofErr w:type="spellEnd"/>
      <w:r w:rsidRPr="000F5365">
        <w:rPr>
          <w:rFonts w:ascii="Bookman Old Style" w:hAnsi="Bookman Old Style" w:cs="Times New Roman"/>
          <w:u w:val="single"/>
        </w:rPr>
        <w:t xml:space="preserve">. </w:t>
      </w:r>
      <w:r w:rsidRPr="00DD4909">
        <w:rPr>
          <w:rFonts w:ascii="Bookman Old Style" w:hAnsi="Bookman Old Style" w:cs="Times New Roman"/>
        </w:rPr>
        <w:t xml:space="preserve">In determining whether an agreement creates a lease or a </w:t>
      </w:r>
      <w:proofErr w:type="spellStart"/>
      <w:r w:rsidRPr="00DD4909">
        <w:rPr>
          <w:rFonts w:ascii="Bookman Old Style" w:hAnsi="Bookman Old Style" w:cs="Times New Roman"/>
        </w:rPr>
        <w:t>licence</w:t>
      </w:r>
      <w:proofErr w:type="spellEnd"/>
      <w:r w:rsidRPr="00DD4909">
        <w:rPr>
          <w:rFonts w:ascii="Bookman Old Style" w:hAnsi="Bookman Old Style" w:cs="Times New Roman"/>
        </w:rPr>
        <w:t xml:space="preserve"> the test of exclusive possession though not decisive is of significance.”</w:t>
      </w:r>
    </w:p>
    <w:p w14:paraId="1CE0370E" w14:textId="0B3B0AAD" w:rsidR="00431C13" w:rsidRDefault="000F5365" w:rsidP="00AC6272">
      <w:pPr>
        <w:spacing w:after="200"/>
        <w:ind w:left="851" w:right="851"/>
        <w:jc w:val="right"/>
        <w:rPr>
          <w:rFonts w:ascii="Bookman Old Style" w:hAnsi="Bookman Old Style" w:cs="Times New Roman"/>
        </w:rPr>
      </w:pPr>
      <w:r>
        <w:rPr>
          <w:rFonts w:ascii="Bookman Old Style" w:hAnsi="Bookman Old Style" w:cs="Times New Roman"/>
        </w:rPr>
        <w:t>[Emphasis Added]</w:t>
      </w:r>
    </w:p>
    <w:p w14:paraId="36E1642E" w14:textId="77777777" w:rsidR="007E28BE" w:rsidRDefault="00AC6272" w:rsidP="00AC6272">
      <w:pPr>
        <w:pStyle w:val="ListParagraph"/>
        <w:numPr>
          <w:ilvl w:val="0"/>
          <w:numId w:val="3"/>
        </w:numPr>
        <w:tabs>
          <w:tab w:val="left" w:pos="851"/>
        </w:tabs>
        <w:spacing w:after="200" w:line="480" w:lineRule="auto"/>
        <w:contextualSpacing w:val="0"/>
        <w:jc w:val="both"/>
        <w:rPr>
          <w:rFonts w:ascii="Bookman Old Style" w:hAnsi="Bookman Old Style" w:cs="Times New Roman"/>
        </w:rPr>
      </w:pPr>
      <w:r>
        <w:rPr>
          <w:rFonts w:ascii="Bookman Old Style" w:hAnsi="Bookman Old Style" w:cs="Times New Roman"/>
        </w:rPr>
        <w:t>I</w:t>
      </w:r>
      <w:r w:rsidR="00A37C7D" w:rsidRPr="00A37C7D">
        <w:rPr>
          <w:rFonts w:ascii="Bookman Old Style" w:hAnsi="Bookman Old Style" w:cs="Times New Roman"/>
        </w:rPr>
        <w:t>n</w:t>
      </w:r>
      <w:r>
        <w:rPr>
          <w:rFonts w:ascii="Bookman Old Style" w:hAnsi="Bookman Old Style" w:cs="Times New Roman"/>
        </w:rPr>
        <w:t xml:space="preserve"> this regard, it shall be profitable to refer to the observations in</w:t>
      </w:r>
      <w:r w:rsidR="00A37C7D" w:rsidRPr="00A37C7D">
        <w:rPr>
          <w:rFonts w:ascii="Bookman Old Style" w:hAnsi="Bookman Old Style" w:cs="Times New Roman"/>
        </w:rPr>
        <w:t xml:space="preserve"> </w:t>
      </w:r>
      <w:r w:rsidR="00A37C7D" w:rsidRPr="00AC6272">
        <w:rPr>
          <w:rFonts w:ascii="Bookman Old Style" w:hAnsi="Bookman Old Style" w:cs="Times New Roman"/>
          <w:i/>
        </w:rPr>
        <w:t>Hill &amp; Redman's Law of Landlord and Tenant</w:t>
      </w:r>
      <w:r>
        <w:rPr>
          <w:rStyle w:val="FootnoteReference"/>
          <w:rFonts w:ascii="Bookman Old Style" w:hAnsi="Bookman Old Style" w:cs="Times New Roman"/>
          <w:i/>
        </w:rPr>
        <w:footnoteReference w:id="5"/>
      </w:r>
      <w:r w:rsidR="007E28BE">
        <w:rPr>
          <w:rFonts w:ascii="Bookman Old Style" w:hAnsi="Bookman Old Style" w:cs="Times New Roman"/>
          <w:i/>
        </w:rPr>
        <w:t xml:space="preserve">, </w:t>
      </w:r>
      <w:r w:rsidR="007E28BE" w:rsidRPr="007E28BE">
        <w:rPr>
          <w:rFonts w:ascii="Bookman Old Style" w:hAnsi="Bookman Old Style" w:cs="Times New Roman"/>
        </w:rPr>
        <w:t xml:space="preserve">which contains </w:t>
      </w:r>
      <w:r w:rsidR="00A37C7D" w:rsidRPr="007E28BE">
        <w:rPr>
          <w:rFonts w:ascii="Bookman Old Style" w:hAnsi="Bookman Old Style" w:cs="Times New Roman"/>
        </w:rPr>
        <w:t>a</w:t>
      </w:r>
      <w:r w:rsidR="00A37C7D" w:rsidRPr="00A37C7D">
        <w:rPr>
          <w:rFonts w:ascii="Bookman Old Style" w:hAnsi="Bookman Old Style" w:cs="Times New Roman"/>
        </w:rPr>
        <w:t xml:space="preserve"> more detailed discussion </w:t>
      </w:r>
      <w:r w:rsidR="007E28BE">
        <w:rPr>
          <w:rFonts w:ascii="Bookman Old Style" w:hAnsi="Bookman Old Style" w:cs="Times New Roman"/>
        </w:rPr>
        <w:t>on the determinative tests. The relevant observations read as:</w:t>
      </w:r>
    </w:p>
    <w:p w14:paraId="628CE4EA" w14:textId="31E5F004" w:rsidR="00A37C7D" w:rsidRDefault="00A37C7D" w:rsidP="007E28BE">
      <w:pPr>
        <w:spacing w:after="200"/>
        <w:ind w:left="851" w:right="851"/>
        <w:jc w:val="both"/>
        <w:rPr>
          <w:rFonts w:ascii="Bookman Old Style" w:hAnsi="Bookman Old Style" w:cs="Times New Roman"/>
        </w:rPr>
      </w:pPr>
      <w:r w:rsidRPr="00A37C7D">
        <w:rPr>
          <w:rFonts w:ascii="Bookman Old Style" w:hAnsi="Bookman Old Style" w:cs="Times New Roman"/>
        </w:rPr>
        <w:t xml:space="preserve">"It is essential to the creation of a tenancy of a corporeal near </w:t>
      </w:r>
      <w:proofErr w:type="spellStart"/>
      <w:r w:rsidRPr="00A37C7D">
        <w:rPr>
          <w:rFonts w:ascii="Bookman Old Style" w:hAnsi="Bookman Old Style" w:cs="Times New Roman"/>
        </w:rPr>
        <w:t>diterment</w:t>
      </w:r>
      <w:proofErr w:type="spellEnd"/>
      <w:r w:rsidRPr="00A37C7D">
        <w:rPr>
          <w:rFonts w:ascii="Bookman Old Style" w:hAnsi="Bookman Old Style" w:cs="Times New Roman"/>
        </w:rPr>
        <w:t xml:space="preserve"> that the tenant should be granted the right to the exclusive possession of the premises. A grant under which the grantee takes only the right to use the premises without being entitled to exclusive possession must operate as a </w:t>
      </w:r>
      <w:proofErr w:type="spellStart"/>
      <w:r w:rsidRPr="00A37C7D">
        <w:rPr>
          <w:rFonts w:ascii="Bookman Old Style" w:hAnsi="Bookman Old Style" w:cs="Times New Roman"/>
        </w:rPr>
        <w:t>licence</w:t>
      </w:r>
      <w:proofErr w:type="spellEnd"/>
      <w:r w:rsidRPr="00A37C7D">
        <w:rPr>
          <w:rFonts w:ascii="Bookman Old Style" w:hAnsi="Bookman Old Style" w:cs="Times New Roman"/>
        </w:rPr>
        <w:t xml:space="preserve"> and not as a lease. It was probably correct law at one time to say that the right of exclusive possession necessarily characterized the grant as that of a lease; but it is now possible for a licensee to have the right to exclusive possession. However, the fact that exclusive possession is granted, though by no means decisive against the view that there is a mere </w:t>
      </w:r>
      <w:proofErr w:type="spellStart"/>
      <w:r w:rsidRPr="00A37C7D">
        <w:rPr>
          <w:rFonts w:ascii="Bookman Old Style" w:hAnsi="Bookman Old Style" w:cs="Times New Roman"/>
        </w:rPr>
        <w:t>licence</w:t>
      </w:r>
      <w:proofErr w:type="spellEnd"/>
      <w:r w:rsidRPr="00A37C7D">
        <w:rPr>
          <w:rFonts w:ascii="Bookman Old Style" w:hAnsi="Bookman Old Style" w:cs="Times New Roman"/>
        </w:rPr>
        <w:t xml:space="preserve">, as distinct from a tenancy, is at all events a consideration of the first importance. Further, a grant of exclusive possession may be only a </w:t>
      </w:r>
      <w:proofErr w:type="spellStart"/>
      <w:r w:rsidRPr="00A37C7D">
        <w:rPr>
          <w:rFonts w:ascii="Bookman Old Style" w:hAnsi="Bookman Old Style" w:cs="Times New Roman"/>
        </w:rPr>
        <w:t>licence</w:t>
      </w:r>
      <w:proofErr w:type="spellEnd"/>
      <w:r w:rsidRPr="00A37C7D">
        <w:rPr>
          <w:rFonts w:ascii="Bookman Old Style" w:hAnsi="Bookman Old Style" w:cs="Times New Roman"/>
        </w:rPr>
        <w:t xml:space="preserve"> and not a lease where the grantor has no power to grant a lease. In deciding whether a grant amounts to a lease, or is only a </w:t>
      </w:r>
      <w:proofErr w:type="spellStart"/>
      <w:r w:rsidRPr="00A37C7D">
        <w:rPr>
          <w:rFonts w:ascii="Bookman Old Style" w:hAnsi="Bookman Old Style" w:cs="Times New Roman"/>
        </w:rPr>
        <w:t>licence</w:t>
      </w:r>
      <w:proofErr w:type="spellEnd"/>
      <w:r w:rsidRPr="00A37C7D">
        <w:rPr>
          <w:rFonts w:ascii="Bookman Old Style" w:hAnsi="Bookman Old Style" w:cs="Times New Roman"/>
        </w:rPr>
        <w:t xml:space="preserve">, regard must be had to the substance rather than the form of the agreement, for the relationship between the parties is determined by the law and not by the label which they choose to put on it. It has been said that the law will not impute an intention to enter into the legal relation of landlord and tenant where circumstances and conduct negative that Intention; but the fact that </w:t>
      </w:r>
      <w:r w:rsidRPr="00A37C7D">
        <w:rPr>
          <w:rFonts w:ascii="Bookman Old Style" w:hAnsi="Bookman Old Style" w:cs="Times New Roman"/>
        </w:rPr>
        <w:lastRenderedPageBreak/>
        <w:t xml:space="preserve">the agreement contains a clause that no tenancy is to be created will not, of itself, preclude the instrument from being a lease. If the effect of the instrument is to give the holder the exclusive right of occupation of the land, though subject to certain reservations, or to a restriction of the purposes for which it may be used, it is prima facie a lease; if the contract is merely for the use of the property in a certain way and on certain terms, while it remains in the possession and under the control of the owner, it is a </w:t>
      </w:r>
      <w:proofErr w:type="spellStart"/>
      <w:r w:rsidRPr="00A37C7D">
        <w:rPr>
          <w:rFonts w:ascii="Bookman Old Style" w:hAnsi="Bookman Old Style" w:cs="Times New Roman"/>
        </w:rPr>
        <w:t>licence</w:t>
      </w:r>
      <w:proofErr w:type="spellEnd"/>
      <w:r w:rsidRPr="00A37C7D">
        <w:rPr>
          <w:rFonts w:ascii="Bookman Old Style" w:hAnsi="Bookman Old Style" w:cs="Times New Roman"/>
        </w:rPr>
        <w:t xml:space="preserve">. To give exclusive possession </w:t>
      </w:r>
      <w:proofErr w:type="gramStart"/>
      <w:r w:rsidRPr="00A37C7D">
        <w:rPr>
          <w:rFonts w:ascii="Bookman Old Style" w:hAnsi="Bookman Old Style" w:cs="Times New Roman"/>
        </w:rPr>
        <w:t>there</w:t>
      </w:r>
      <w:proofErr w:type="gramEnd"/>
      <w:r w:rsidRPr="00A37C7D">
        <w:rPr>
          <w:rFonts w:ascii="Bookman Old Style" w:hAnsi="Bookman Old Style" w:cs="Times New Roman"/>
        </w:rPr>
        <w:t xml:space="preserve"> need not be express words to that effect; it is sufficient if the nature of the acts to be done by the grantee require that he should have exclusive possession. On the other hand, the employment of words appropriate to a lease such as 'rent' or 'rental' will not prevent the grant from being a mere </w:t>
      </w:r>
      <w:proofErr w:type="spellStart"/>
      <w:r w:rsidRPr="00A37C7D">
        <w:rPr>
          <w:rFonts w:ascii="Bookman Old Style" w:hAnsi="Bookman Old Style" w:cs="Times New Roman"/>
        </w:rPr>
        <w:t>licence</w:t>
      </w:r>
      <w:proofErr w:type="spellEnd"/>
      <w:r w:rsidRPr="00A37C7D">
        <w:rPr>
          <w:rFonts w:ascii="Bookman Old Style" w:hAnsi="Bookman Old Style" w:cs="Times New Roman"/>
        </w:rPr>
        <w:t xml:space="preserve"> if from the whole document it appears that the possession of the property is to be retained by the grantor."</w:t>
      </w:r>
    </w:p>
    <w:p w14:paraId="5D359FB2" w14:textId="77777777" w:rsidR="007E28BE" w:rsidRPr="00A37C7D" w:rsidRDefault="007E28BE" w:rsidP="007E28BE">
      <w:pPr>
        <w:spacing w:after="200"/>
        <w:ind w:left="851" w:right="851"/>
        <w:jc w:val="both"/>
        <w:rPr>
          <w:rFonts w:ascii="Bookman Old Style" w:hAnsi="Bookman Old Style" w:cs="Times New Roman"/>
        </w:rPr>
      </w:pPr>
    </w:p>
    <w:p w14:paraId="2C8C0705" w14:textId="77777777" w:rsidR="000E1BB2" w:rsidRDefault="007E28BE" w:rsidP="007E28BE">
      <w:pPr>
        <w:pStyle w:val="ListParagraph"/>
        <w:numPr>
          <w:ilvl w:val="0"/>
          <w:numId w:val="3"/>
        </w:numPr>
        <w:tabs>
          <w:tab w:val="left" w:pos="851"/>
        </w:tabs>
        <w:spacing w:after="200" w:line="480" w:lineRule="auto"/>
        <w:contextualSpacing w:val="0"/>
        <w:jc w:val="both"/>
        <w:rPr>
          <w:rFonts w:ascii="Bookman Old Style" w:hAnsi="Bookman Old Style" w:cs="Times New Roman"/>
        </w:rPr>
      </w:pPr>
      <w:r w:rsidRPr="00A37C7D">
        <w:rPr>
          <w:rFonts w:ascii="Bookman Old Style" w:hAnsi="Bookman Old Style" w:cs="Times New Roman"/>
        </w:rPr>
        <w:t xml:space="preserve">In </w:t>
      </w:r>
      <w:r w:rsidRPr="007E28BE">
        <w:rPr>
          <w:rFonts w:ascii="Bookman Old Style" w:hAnsi="Bookman Old Style" w:cs="Times New Roman"/>
          <w:b/>
          <w:i/>
        </w:rPr>
        <w:t xml:space="preserve">C.M. </w:t>
      </w:r>
      <w:proofErr w:type="spellStart"/>
      <w:r w:rsidRPr="007E28BE">
        <w:rPr>
          <w:rFonts w:ascii="Bookman Old Style" w:hAnsi="Bookman Old Style" w:cs="Times New Roman"/>
          <w:b/>
          <w:i/>
        </w:rPr>
        <w:t>Beena</w:t>
      </w:r>
      <w:proofErr w:type="spellEnd"/>
      <w:r w:rsidRPr="007E28BE">
        <w:rPr>
          <w:rFonts w:ascii="Bookman Old Style" w:hAnsi="Bookman Old Style" w:cs="Times New Roman"/>
          <w:b/>
          <w:i/>
        </w:rPr>
        <w:t xml:space="preserve"> v. P.N. </w:t>
      </w:r>
      <w:proofErr w:type="spellStart"/>
      <w:r w:rsidRPr="007E28BE">
        <w:rPr>
          <w:rFonts w:ascii="Bookman Old Style" w:hAnsi="Bookman Old Style" w:cs="Times New Roman"/>
          <w:b/>
          <w:i/>
        </w:rPr>
        <w:t>Ramachandra</w:t>
      </w:r>
      <w:proofErr w:type="spellEnd"/>
      <w:r w:rsidRPr="007E28BE">
        <w:rPr>
          <w:rFonts w:ascii="Bookman Old Style" w:hAnsi="Bookman Old Style" w:cs="Times New Roman"/>
          <w:b/>
          <w:i/>
        </w:rPr>
        <w:t xml:space="preserve"> </w:t>
      </w:r>
      <w:proofErr w:type="spellStart"/>
      <w:r w:rsidRPr="007E28BE">
        <w:rPr>
          <w:rFonts w:ascii="Bookman Old Style" w:hAnsi="Bookman Old Style" w:cs="Times New Roman"/>
          <w:b/>
          <w:i/>
        </w:rPr>
        <w:t>Rao</w:t>
      </w:r>
      <w:proofErr w:type="spellEnd"/>
      <w:r>
        <w:rPr>
          <w:rStyle w:val="FootnoteReference"/>
          <w:rFonts w:ascii="Bookman Old Style" w:hAnsi="Bookman Old Style" w:cs="Times New Roman"/>
        </w:rPr>
        <w:footnoteReference w:id="6"/>
      </w:r>
      <w:r>
        <w:rPr>
          <w:rFonts w:ascii="Bookman Old Style" w:hAnsi="Bookman Old Style" w:cs="Times New Roman"/>
        </w:rPr>
        <w:t xml:space="preserve">, the Supreme Court quoted with approval the aforesaid observations from </w:t>
      </w:r>
      <w:r w:rsidRPr="00AC6272">
        <w:rPr>
          <w:rFonts w:ascii="Bookman Old Style" w:hAnsi="Bookman Old Style" w:cs="Times New Roman"/>
          <w:i/>
        </w:rPr>
        <w:t>Hill &amp; Redman's Law of Landlord and Tenant</w:t>
      </w:r>
      <w:r>
        <w:rPr>
          <w:rFonts w:ascii="Bookman Old Style" w:hAnsi="Bookman Old Style" w:cs="Times New Roman"/>
          <w:i/>
        </w:rPr>
        <w:t xml:space="preserve">. </w:t>
      </w:r>
      <w:r>
        <w:rPr>
          <w:rFonts w:ascii="Bookman Old Style" w:hAnsi="Bookman Old Style" w:cs="Times New Roman"/>
        </w:rPr>
        <w:t>T</w:t>
      </w:r>
      <w:r w:rsidRPr="00431C13">
        <w:rPr>
          <w:rFonts w:ascii="Bookman Old Style" w:hAnsi="Bookman Old Style" w:cs="Times New Roman"/>
        </w:rPr>
        <w:t xml:space="preserve">he learned Judges </w:t>
      </w:r>
      <w:r>
        <w:rPr>
          <w:rFonts w:ascii="Bookman Old Style" w:hAnsi="Bookman Old Style" w:cs="Times New Roman"/>
        </w:rPr>
        <w:t xml:space="preserve">also </w:t>
      </w:r>
      <w:r w:rsidRPr="00431C13">
        <w:rPr>
          <w:rFonts w:ascii="Bookman Old Style" w:hAnsi="Bookman Old Style" w:cs="Times New Roman"/>
        </w:rPr>
        <w:t xml:space="preserve">relied on the ratio in </w:t>
      </w:r>
      <w:r w:rsidRPr="00055A66">
        <w:rPr>
          <w:rFonts w:ascii="Bookman Old Style" w:hAnsi="Bookman Old Style" w:cs="Times New Roman"/>
          <w:b/>
          <w:i/>
        </w:rPr>
        <w:t>Associated Hotels</w:t>
      </w:r>
      <w:r w:rsidRPr="00431C13">
        <w:rPr>
          <w:rFonts w:ascii="Bookman Old Style" w:hAnsi="Bookman Old Style" w:cs="Times New Roman"/>
        </w:rPr>
        <w:t xml:space="preserve"> (supra) in deciding the difference between lease and </w:t>
      </w:r>
      <w:r w:rsidR="000E1BB2" w:rsidRPr="00431C13">
        <w:rPr>
          <w:rFonts w:ascii="Bookman Old Style" w:hAnsi="Bookman Old Style" w:cs="Times New Roman"/>
        </w:rPr>
        <w:t>license</w:t>
      </w:r>
      <w:r w:rsidRPr="00431C13">
        <w:rPr>
          <w:rFonts w:ascii="Bookman Old Style" w:hAnsi="Bookman Old Style" w:cs="Times New Roman"/>
        </w:rPr>
        <w:t xml:space="preserve">. </w:t>
      </w:r>
    </w:p>
    <w:p w14:paraId="66B32663" w14:textId="73C75D17" w:rsidR="007E28BE" w:rsidRDefault="007E28BE" w:rsidP="000E1BB2">
      <w:pPr>
        <w:pStyle w:val="ListParagraph"/>
        <w:numPr>
          <w:ilvl w:val="0"/>
          <w:numId w:val="3"/>
        </w:numPr>
        <w:tabs>
          <w:tab w:val="left" w:pos="851"/>
        </w:tabs>
        <w:spacing w:before="240" w:after="200" w:line="480" w:lineRule="auto"/>
        <w:contextualSpacing w:val="0"/>
        <w:jc w:val="both"/>
        <w:rPr>
          <w:rFonts w:ascii="Bookman Old Style" w:hAnsi="Bookman Old Style" w:cs="Times New Roman"/>
        </w:rPr>
      </w:pPr>
      <w:r w:rsidRPr="00431C13">
        <w:rPr>
          <w:rFonts w:ascii="Bookman Old Style" w:hAnsi="Bookman Old Style" w:cs="Times New Roman"/>
        </w:rPr>
        <w:t xml:space="preserve">In paragraph 8 of </w:t>
      </w:r>
      <w:r w:rsidR="000E1BB2" w:rsidRPr="007E28BE">
        <w:rPr>
          <w:rFonts w:ascii="Bookman Old Style" w:hAnsi="Bookman Old Style" w:cs="Times New Roman"/>
          <w:b/>
          <w:i/>
        </w:rPr>
        <w:t xml:space="preserve">C.M. </w:t>
      </w:r>
      <w:proofErr w:type="spellStart"/>
      <w:r w:rsidR="000E1BB2" w:rsidRPr="007E28BE">
        <w:rPr>
          <w:rFonts w:ascii="Bookman Old Style" w:hAnsi="Bookman Old Style" w:cs="Times New Roman"/>
          <w:b/>
          <w:i/>
        </w:rPr>
        <w:t>Beena</w:t>
      </w:r>
      <w:proofErr w:type="spellEnd"/>
      <w:r w:rsidR="000E1BB2">
        <w:rPr>
          <w:rFonts w:ascii="Bookman Old Style" w:hAnsi="Bookman Old Style" w:cs="Times New Roman"/>
        </w:rPr>
        <w:t xml:space="preserve"> (supra)</w:t>
      </w:r>
      <w:r w:rsidRPr="00431C13">
        <w:rPr>
          <w:rFonts w:ascii="Bookman Old Style" w:hAnsi="Bookman Old Style" w:cs="Times New Roman"/>
        </w:rPr>
        <w:t>,</w:t>
      </w:r>
      <w:r w:rsidR="000E1BB2">
        <w:rPr>
          <w:rFonts w:ascii="Bookman Old Style" w:hAnsi="Bookman Old Style" w:cs="Times New Roman"/>
        </w:rPr>
        <w:t xml:space="preserve"> the</w:t>
      </w:r>
      <w:r w:rsidRPr="00431C13">
        <w:rPr>
          <w:rFonts w:ascii="Bookman Old Style" w:hAnsi="Bookman Old Style" w:cs="Times New Roman"/>
        </w:rPr>
        <w:t xml:space="preserve"> learned Judges held that difference between lease and the </w:t>
      </w:r>
      <w:r w:rsidR="00A82445" w:rsidRPr="00431C13">
        <w:rPr>
          <w:rFonts w:ascii="Bookman Old Style" w:hAnsi="Bookman Old Style" w:cs="Times New Roman"/>
        </w:rPr>
        <w:t>license</w:t>
      </w:r>
      <w:r w:rsidRPr="00431C13">
        <w:rPr>
          <w:rFonts w:ascii="Bookman Old Style" w:hAnsi="Bookman Old Style" w:cs="Times New Roman"/>
        </w:rPr>
        <w:t xml:space="preserve"> is to be determined by finding the real intention of the parties from a total reading of the document, if any, between the parties and also considering the surrounding circumstances. The learned Judges made it clear that use of terms "lease" or "</w:t>
      </w:r>
      <w:r w:rsidR="00A82445" w:rsidRPr="00431C13">
        <w:rPr>
          <w:rFonts w:ascii="Bookman Old Style" w:hAnsi="Bookman Old Style" w:cs="Times New Roman"/>
        </w:rPr>
        <w:t>license</w:t>
      </w:r>
      <w:r w:rsidRPr="00431C13">
        <w:rPr>
          <w:rFonts w:ascii="Bookman Old Style" w:hAnsi="Bookman Old Style" w:cs="Times New Roman"/>
        </w:rPr>
        <w:t>", "lessor" or "licensor", "rent" or "</w:t>
      </w:r>
      <w:r w:rsidR="00A82445" w:rsidRPr="00431C13">
        <w:rPr>
          <w:rFonts w:ascii="Bookman Old Style" w:hAnsi="Bookman Old Style" w:cs="Times New Roman"/>
        </w:rPr>
        <w:t>license</w:t>
      </w:r>
      <w:r w:rsidRPr="00431C13">
        <w:rPr>
          <w:rFonts w:ascii="Bookman Old Style" w:hAnsi="Bookman Old Style" w:cs="Times New Roman"/>
        </w:rPr>
        <w:t xml:space="preserve"> fee" by </w:t>
      </w:r>
      <w:proofErr w:type="gramStart"/>
      <w:r w:rsidRPr="00431C13">
        <w:rPr>
          <w:rFonts w:ascii="Bookman Old Style" w:hAnsi="Bookman Old Style" w:cs="Times New Roman"/>
        </w:rPr>
        <w:t>themselves</w:t>
      </w:r>
      <w:proofErr w:type="gramEnd"/>
      <w:r w:rsidRPr="00431C13">
        <w:rPr>
          <w:rFonts w:ascii="Bookman Old Style" w:hAnsi="Bookman Old Style" w:cs="Times New Roman"/>
        </w:rPr>
        <w:t xml:space="preserve"> are not decisive. The </w:t>
      </w:r>
      <w:r w:rsidRPr="00431C13">
        <w:rPr>
          <w:rFonts w:ascii="Bookman Old Style" w:hAnsi="Bookman Old Style" w:cs="Times New Roman"/>
        </w:rPr>
        <w:lastRenderedPageBreak/>
        <w:t>conduct and intention of the parties before and after the creation of relationship is relevant to find out the intention.</w:t>
      </w:r>
    </w:p>
    <w:p w14:paraId="6C7C2CBA" w14:textId="77777777" w:rsidR="003448CB" w:rsidRDefault="009A1452" w:rsidP="00431C13">
      <w:pPr>
        <w:pStyle w:val="ListParagraph"/>
        <w:numPr>
          <w:ilvl w:val="0"/>
          <w:numId w:val="3"/>
        </w:numPr>
        <w:tabs>
          <w:tab w:val="left" w:pos="851"/>
        </w:tabs>
        <w:spacing w:before="240" w:after="200" w:line="480" w:lineRule="auto"/>
        <w:contextualSpacing w:val="0"/>
        <w:jc w:val="both"/>
        <w:rPr>
          <w:rFonts w:ascii="Bookman Old Style" w:hAnsi="Bookman Old Style" w:cs="Times New Roman"/>
        </w:rPr>
      </w:pPr>
      <w:r>
        <w:rPr>
          <w:rFonts w:ascii="Bookman Old Style" w:hAnsi="Bookman Old Style" w:cs="Times New Roman"/>
        </w:rPr>
        <w:t xml:space="preserve">The Supreme Court has also in its subsequent pronouncements, namely, </w:t>
      </w:r>
      <w:r w:rsidR="00A82445" w:rsidRPr="009A1452">
        <w:rPr>
          <w:rFonts w:ascii="Bookman Old Style" w:hAnsi="Bookman Old Style" w:cs="Times New Roman"/>
          <w:b/>
          <w:i/>
        </w:rPr>
        <w:t>The Ne</w:t>
      </w:r>
      <w:r w:rsidRPr="009A1452">
        <w:rPr>
          <w:rFonts w:ascii="Bookman Old Style" w:hAnsi="Bookman Old Style" w:cs="Times New Roman"/>
          <w:b/>
          <w:i/>
        </w:rPr>
        <w:t>w Bus Stand Shop Owners Assn. v</w:t>
      </w:r>
      <w:r w:rsidR="00A82445" w:rsidRPr="009A1452">
        <w:rPr>
          <w:rFonts w:ascii="Bookman Old Style" w:hAnsi="Bookman Old Style" w:cs="Times New Roman"/>
          <w:b/>
          <w:i/>
        </w:rPr>
        <w:t xml:space="preserve">. Corporation of Kozhikode and </w:t>
      </w:r>
      <w:proofErr w:type="spellStart"/>
      <w:r w:rsidR="00A82445" w:rsidRPr="009A1452">
        <w:rPr>
          <w:rFonts w:ascii="Bookman Old Style" w:hAnsi="Bookman Old Style" w:cs="Times New Roman"/>
          <w:b/>
          <w:i/>
        </w:rPr>
        <w:t>Ors</w:t>
      </w:r>
      <w:proofErr w:type="spellEnd"/>
      <w:r w:rsidR="00A82445" w:rsidRPr="009A1452">
        <w:rPr>
          <w:rFonts w:ascii="Bookman Old Style" w:hAnsi="Bookman Old Style" w:cs="Times New Roman"/>
          <w:b/>
          <w:i/>
        </w:rPr>
        <w:t>.</w:t>
      </w:r>
      <w:r>
        <w:rPr>
          <w:rStyle w:val="FootnoteReference"/>
          <w:rFonts w:ascii="Bookman Old Style" w:hAnsi="Bookman Old Style" w:cs="Times New Roman"/>
          <w:b/>
          <w:i/>
        </w:rPr>
        <w:footnoteReference w:id="7"/>
      </w:r>
      <w:r w:rsidR="00A82445" w:rsidRPr="009A1452">
        <w:rPr>
          <w:rFonts w:ascii="Bookman Old Style" w:hAnsi="Bookman Old Style" w:cs="Times New Roman"/>
          <w:b/>
          <w:i/>
        </w:rPr>
        <w:t xml:space="preserve"> </w:t>
      </w:r>
      <w:proofErr w:type="gramStart"/>
      <w:r>
        <w:rPr>
          <w:rFonts w:ascii="Bookman Old Style" w:hAnsi="Bookman Old Style" w:cs="Times New Roman"/>
        </w:rPr>
        <w:t>and</w:t>
      </w:r>
      <w:proofErr w:type="gramEnd"/>
      <w:r>
        <w:rPr>
          <w:rFonts w:ascii="Bookman Old Style" w:hAnsi="Bookman Old Style" w:cs="Times New Roman"/>
        </w:rPr>
        <w:t xml:space="preserve"> </w:t>
      </w:r>
      <w:r w:rsidR="00A37C7D" w:rsidRPr="009A1452">
        <w:rPr>
          <w:rFonts w:ascii="Bookman Old Style" w:hAnsi="Bookman Old Style" w:cs="Times New Roman"/>
          <w:b/>
          <w:i/>
        </w:rPr>
        <w:t>Bhar</w:t>
      </w:r>
      <w:r w:rsidRPr="009A1452">
        <w:rPr>
          <w:rFonts w:ascii="Bookman Old Style" w:hAnsi="Bookman Old Style" w:cs="Times New Roman"/>
          <w:b/>
          <w:i/>
        </w:rPr>
        <w:t>at Petroleum Corporation Ltd. v</w:t>
      </w:r>
      <w:r w:rsidR="00A37C7D" w:rsidRPr="009A1452">
        <w:rPr>
          <w:rFonts w:ascii="Bookman Old Style" w:hAnsi="Bookman Old Style" w:cs="Times New Roman"/>
          <w:b/>
          <w:i/>
        </w:rPr>
        <w:t xml:space="preserve">. </w:t>
      </w:r>
      <w:proofErr w:type="spellStart"/>
      <w:r w:rsidR="00A37C7D" w:rsidRPr="009A1452">
        <w:rPr>
          <w:rFonts w:ascii="Bookman Old Style" w:hAnsi="Bookman Old Style" w:cs="Times New Roman"/>
          <w:b/>
          <w:i/>
        </w:rPr>
        <w:t>Chembur</w:t>
      </w:r>
      <w:proofErr w:type="spellEnd"/>
      <w:r w:rsidR="00A37C7D" w:rsidRPr="009A1452">
        <w:rPr>
          <w:rFonts w:ascii="Bookman Old Style" w:hAnsi="Bookman Old Style" w:cs="Times New Roman"/>
          <w:b/>
          <w:i/>
        </w:rPr>
        <w:t xml:space="preserve"> Service Station</w:t>
      </w:r>
      <w:r>
        <w:rPr>
          <w:rStyle w:val="FootnoteReference"/>
          <w:rFonts w:ascii="Bookman Old Style" w:hAnsi="Bookman Old Style" w:cs="Times New Roman"/>
          <w:b/>
          <w:i/>
        </w:rPr>
        <w:footnoteReference w:id="8"/>
      </w:r>
      <w:r>
        <w:rPr>
          <w:rFonts w:ascii="Bookman Old Style" w:hAnsi="Bookman Old Style" w:cs="Times New Roman"/>
          <w:b/>
          <w:i/>
        </w:rPr>
        <w:t xml:space="preserve">, </w:t>
      </w:r>
      <w:r>
        <w:rPr>
          <w:rFonts w:ascii="Bookman Old Style" w:hAnsi="Bookman Old Style" w:cs="Times New Roman"/>
        </w:rPr>
        <w:t xml:space="preserve">has concurred with its earlier findings in </w:t>
      </w:r>
      <w:r w:rsidRPr="007E28BE">
        <w:rPr>
          <w:rFonts w:ascii="Bookman Old Style" w:hAnsi="Bookman Old Style" w:cs="Times New Roman"/>
          <w:b/>
          <w:i/>
        </w:rPr>
        <w:t xml:space="preserve">C.M. </w:t>
      </w:r>
      <w:proofErr w:type="spellStart"/>
      <w:r w:rsidRPr="007E28BE">
        <w:rPr>
          <w:rFonts w:ascii="Bookman Old Style" w:hAnsi="Bookman Old Style" w:cs="Times New Roman"/>
          <w:b/>
          <w:i/>
        </w:rPr>
        <w:t>Beena</w:t>
      </w:r>
      <w:proofErr w:type="spellEnd"/>
      <w:r>
        <w:rPr>
          <w:rFonts w:ascii="Bookman Old Style" w:hAnsi="Bookman Old Style" w:cs="Times New Roman"/>
        </w:rPr>
        <w:t xml:space="preserve"> (supra).</w:t>
      </w:r>
      <w:r w:rsidR="003448CB">
        <w:rPr>
          <w:rFonts w:ascii="Bookman Old Style" w:hAnsi="Bookman Old Style" w:cs="Times New Roman"/>
        </w:rPr>
        <w:t xml:space="preserve"> Thus, the Law is pretty clear with regard to the litmus test so as to discern whether a document is a lease or a license. </w:t>
      </w:r>
    </w:p>
    <w:p w14:paraId="57D2CA7A" w14:textId="3A668A1D" w:rsidR="00431C13" w:rsidRPr="009A1452" w:rsidRDefault="003448CB" w:rsidP="00431C13">
      <w:pPr>
        <w:pStyle w:val="ListParagraph"/>
        <w:numPr>
          <w:ilvl w:val="0"/>
          <w:numId w:val="3"/>
        </w:numPr>
        <w:tabs>
          <w:tab w:val="left" w:pos="851"/>
        </w:tabs>
        <w:spacing w:before="240" w:after="200" w:line="480" w:lineRule="auto"/>
        <w:contextualSpacing w:val="0"/>
        <w:jc w:val="both"/>
        <w:rPr>
          <w:rFonts w:ascii="Bookman Old Style" w:hAnsi="Bookman Old Style" w:cs="Times New Roman"/>
        </w:rPr>
      </w:pPr>
      <w:r>
        <w:rPr>
          <w:rFonts w:ascii="Bookman Old Style" w:hAnsi="Bookman Old Style" w:cs="Times New Roman"/>
        </w:rPr>
        <w:t>Now in this Article, we shall, one by one, analyze the individual ingredients of test</w:t>
      </w:r>
      <w:r w:rsidR="00145CA7">
        <w:rPr>
          <w:rFonts w:ascii="Bookman Old Style" w:hAnsi="Bookman Old Style" w:cs="Times New Roman"/>
        </w:rPr>
        <w:t>(s)</w:t>
      </w:r>
      <w:r>
        <w:rPr>
          <w:rFonts w:ascii="Bookman Old Style" w:hAnsi="Bookman Old Style" w:cs="Times New Roman"/>
        </w:rPr>
        <w:t xml:space="preserve"> laid down the Supreme Court in its decisions </w:t>
      </w:r>
      <w:r w:rsidR="00145CA7">
        <w:rPr>
          <w:rFonts w:ascii="Bookman Old Style" w:hAnsi="Bookman Old Style" w:cs="Times New Roman"/>
        </w:rPr>
        <w:t>throughout</w:t>
      </w:r>
      <w:r>
        <w:rPr>
          <w:rFonts w:ascii="Bookman Old Style" w:hAnsi="Bookman Old Style" w:cs="Times New Roman"/>
        </w:rPr>
        <w:t>.</w:t>
      </w:r>
      <w:r w:rsidR="00145CA7">
        <w:rPr>
          <w:rFonts w:ascii="Bookman Old Style" w:hAnsi="Bookman Old Style" w:cs="Times New Roman"/>
        </w:rPr>
        <w:t xml:space="preserve"> </w:t>
      </w:r>
      <w:r w:rsidR="000F3597">
        <w:rPr>
          <w:rFonts w:ascii="Bookman Old Style" w:hAnsi="Bookman Old Style" w:cs="Times New Roman"/>
        </w:rPr>
        <w:t>Further, i</w:t>
      </w:r>
      <w:r w:rsidR="00145CA7">
        <w:rPr>
          <w:rFonts w:ascii="Bookman Old Style" w:hAnsi="Bookman Old Style" w:cs="Times New Roman"/>
        </w:rPr>
        <w:t xml:space="preserve">t may be safe to state that there is no one single </w:t>
      </w:r>
      <w:r w:rsidR="000F3597">
        <w:rPr>
          <w:rFonts w:ascii="Bookman Old Style" w:hAnsi="Bookman Old Style" w:cs="Times New Roman"/>
        </w:rPr>
        <w:t>litmus</w:t>
      </w:r>
      <w:r w:rsidR="00145CA7">
        <w:rPr>
          <w:rFonts w:ascii="Bookman Old Style" w:hAnsi="Bookman Old Style" w:cs="Times New Roman"/>
        </w:rPr>
        <w:t xml:space="preserve"> test laid down </w:t>
      </w:r>
      <w:r w:rsidR="000F3597">
        <w:rPr>
          <w:rFonts w:ascii="Bookman Old Style" w:hAnsi="Bookman Old Style" w:cs="Times New Roman"/>
        </w:rPr>
        <w:t>by the Supreme Court</w:t>
      </w:r>
      <w:r w:rsidR="00145CA7">
        <w:rPr>
          <w:rFonts w:ascii="Bookman Old Style" w:hAnsi="Bookman Old Style" w:cs="Times New Roman"/>
        </w:rPr>
        <w:t xml:space="preserve"> for determining whether a particular document is the lease or </w:t>
      </w:r>
      <w:r w:rsidR="000F3597">
        <w:rPr>
          <w:rFonts w:ascii="Bookman Old Style" w:hAnsi="Bookman Old Style" w:cs="Times New Roman"/>
        </w:rPr>
        <w:t>license</w:t>
      </w:r>
      <w:r w:rsidR="00145CA7">
        <w:rPr>
          <w:rFonts w:ascii="Bookman Old Style" w:hAnsi="Bookman Old Style" w:cs="Times New Roman"/>
        </w:rPr>
        <w:t>. However, it is the cumulative result of the three major test</w:t>
      </w:r>
      <w:r w:rsidR="000F3597">
        <w:rPr>
          <w:rFonts w:ascii="Bookman Old Style" w:hAnsi="Bookman Old Style" w:cs="Times New Roman"/>
        </w:rPr>
        <w:t>s</w:t>
      </w:r>
      <w:r w:rsidR="00145CA7">
        <w:rPr>
          <w:rFonts w:ascii="Bookman Old Style" w:hAnsi="Bookman Old Style" w:cs="Times New Roman"/>
        </w:rPr>
        <w:t xml:space="preserve"> </w:t>
      </w:r>
      <w:r w:rsidR="000F3597">
        <w:rPr>
          <w:rFonts w:ascii="Bookman Old Style" w:hAnsi="Bookman Old Style" w:cs="Times New Roman"/>
        </w:rPr>
        <w:t xml:space="preserve">enunciated by the </w:t>
      </w:r>
      <w:r w:rsidR="00D6406A">
        <w:rPr>
          <w:rFonts w:ascii="Bookman Old Style" w:hAnsi="Bookman Old Style" w:cs="Times New Roman"/>
        </w:rPr>
        <w:t>Court, which</w:t>
      </w:r>
      <w:r w:rsidR="000F3597">
        <w:rPr>
          <w:rFonts w:ascii="Bookman Old Style" w:hAnsi="Bookman Old Style" w:cs="Times New Roman"/>
        </w:rPr>
        <w:t xml:space="preserve"> will deter</w:t>
      </w:r>
      <w:r w:rsidR="00145CA7">
        <w:rPr>
          <w:rFonts w:ascii="Bookman Old Style" w:hAnsi="Bookman Old Style" w:cs="Times New Roman"/>
        </w:rPr>
        <w:t>mine</w:t>
      </w:r>
      <w:r w:rsidR="000F3597">
        <w:rPr>
          <w:rFonts w:ascii="Bookman Old Style" w:hAnsi="Bookman Old Style" w:cs="Times New Roman"/>
        </w:rPr>
        <w:t xml:space="preserve"> </w:t>
      </w:r>
      <w:r w:rsidR="000D6B06">
        <w:rPr>
          <w:rFonts w:ascii="Bookman Old Style" w:hAnsi="Bookman Old Style" w:cs="Times New Roman"/>
        </w:rPr>
        <w:t xml:space="preserve">the true nature of </w:t>
      </w:r>
      <w:proofErr w:type="gramStart"/>
      <w:r w:rsidR="000D6B06">
        <w:rPr>
          <w:rFonts w:ascii="Bookman Old Style" w:hAnsi="Bookman Old Style" w:cs="Times New Roman"/>
        </w:rPr>
        <w:t>a</w:t>
      </w:r>
      <w:proofErr w:type="gramEnd"/>
      <w:r w:rsidR="000D6B06">
        <w:rPr>
          <w:rFonts w:ascii="Bookman Old Style" w:hAnsi="Bookman Old Style" w:cs="Times New Roman"/>
        </w:rPr>
        <w:t xml:space="preserve"> </w:t>
      </w:r>
      <w:r w:rsidR="00D6406A">
        <w:rPr>
          <w:rFonts w:ascii="Bookman Old Style" w:hAnsi="Bookman Old Style" w:cs="Times New Roman"/>
        </w:rPr>
        <w:t>instrument</w:t>
      </w:r>
      <w:r w:rsidR="000D6B06">
        <w:rPr>
          <w:rFonts w:ascii="Bookman Old Style" w:hAnsi="Bookman Old Style" w:cs="Times New Roman"/>
        </w:rPr>
        <w:t>.</w:t>
      </w:r>
    </w:p>
    <w:p w14:paraId="7D4BB520" w14:textId="35717233" w:rsidR="00AC6272" w:rsidRPr="00145CA7" w:rsidRDefault="00F80BAE" w:rsidP="00145CA7">
      <w:pPr>
        <w:pStyle w:val="ListParagraph"/>
        <w:numPr>
          <w:ilvl w:val="0"/>
          <w:numId w:val="3"/>
        </w:numPr>
        <w:tabs>
          <w:tab w:val="left" w:pos="851"/>
        </w:tabs>
        <w:spacing w:before="240" w:after="200" w:line="480" w:lineRule="auto"/>
        <w:contextualSpacing w:val="0"/>
        <w:jc w:val="both"/>
        <w:rPr>
          <w:rFonts w:ascii="Bookman Old Style" w:hAnsi="Bookman Old Style" w:cs="Times New Roman"/>
          <w:i/>
        </w:rPr>
      </w:pPr>
      <w:r w:rsidRPr="00F80BAE">
        <w:rPr>
          <w:rFonts w:ascii="Bookman Old Style" w:hAnsi="Bookman Old Style" w:cs="Times New Roman"/>
        </w:rPr>
        <w:t>Firstly</w:t>
      </w:r>
      <w:r>
        <w:rPr>
          <w:rFonts w:ascii="Bookman Old Style" w:hAnsi="Bookman Old Style" w:cs="Times New Roman"/>
          <w:i/>
        </w:rPr>
        <w:t xml:space="preserve">, </w:t>
      </w:r>
      <w:r>
        <w:rPr>
          <w:rFonts w:ascii="Bookman Old Style" w:hAnsi="Bookman Old Style" w:cs="Times New Roman"/>
        </w:rPr>
        <w:t>each of the decisions lay immense emphasis on the ‘intention of the Parties’.</w:t>
      </w:r>
      <w:r w:rsidR="00145CA7">
        <w:rPr>
          <w:rFonts w:ascii="Bookman Old Style" w:hAnsi="Bookman Old Style" w:cs="Times New Roman"/>
        </w:rPr>
        <w:t xml:space="preserve"> </w:t>
      </w:r>
      <w:r w:rsidR="00AC6272" w:rsidRPr="00145CA7">
        <w:rPr>
          <w:rFonts w:ascii="Bookman Old Style" w:hAnsi="Bookman Old Style" w:cs="Times New Roman"/>
        </w:rPr>
        <w:t>It follows from the above that intention overrides the written document; that even though the document is styled as a lease, yet it</w:t>
      </w:r>
      <w:r w:rsidR="00145CA7" w:rsidRPr="00145CA7">
        <w:rPr>
          <w:rFonts w:ascii="Bookman Old Style" w:hAnsi="Bookman Old Style" w:cs="Times New Roman"/>
        </w:rPr>
        <w:t xml:space="preserve"> may be a </w:t>
      </w:r>
      <w:r w:rsidR="00D6406A" w:rsidRPr="00145CA7">
        <w:rPr>
          <w:rFonts w:ascii="Bookman Old Style" w:hAnsi="Bookman Old Style" w:cs="Times New Roman"/>
        </w:rPr>
        <w:t>license</w:t>
      </w:r>
      <w:r w:rsidR="00145CA7" w:rsidRPr="00145CA7">
        <w:rPr>
          <w:rFonts w:ascii="Bookman Old Style" w:hAnsi="Bookman Old Style" w:cs="Times New Roman"/>
        </w:rPr>
        <w:t xml:space="preserve">; that even a recital </w:t>
      </w:r>
      <w:r w:rsidR="00AC6272" w:rsidRPr="00145CA7">
        <w:rPr>
          <w:rFonts w:ascii="Bookman Old Style" w:hAnsi="Bookman Old Style" w:cs="Times New Roman"/>
        </w:rPr>
        <w:t>that the documen</w:t>
      </w:r>
      <w:r w:rsidR="00145CA7" w:rsidRPr="00145CA7">
        <w:rPr>
          <w:rFonts w:ascii="Bookman Old Style" w:hAnsi="Bookman Old Style" w:cs="Times New Roman"/>
        </w:rPr>
        <w:t>t is not a lease, is inadequate</w:t>
      </w:r>
      <w:r w:rsidR="00AC6272" w:rsidRPr="00145CA7">
        <w:rPr>
          <w:rFonts w:ascii="Bookman Old Style" w:hAnsi="Bookman Old Style" w:cs="Times New Roman"/>
        </w:rPr>
        <w:t>.</w:t>
      </w:r>
    </w:p>
    <w:p w14:paraId="2CE2AFB8" w14:textId="6D7425BF" w:rsidR="00AC6272" w:rsidRPr="00D6406A" w:rsidRDefault="00145CA7" w:rsidP="00D6406A">
      <w:pPr>
        <w:pStyle w:val="ListParagraph"/>
        <w:numPr>
          <w:ilvl w:val="0"/>
          <w:numId w:val="3"/>
        </w:numPr>
        <w:tabs>
          <w:tab w:val="left" w:pos="851"/>
        </w:tabs>
        <w:spacing w:before="240" w:after="200" w:line="480" w:lineRule="auto"/>
        <w:contextualSpacing w:val="0"/>
        <w:jc w:val="both"/>
        <w:rPr>
          <w:rFonts w:ascii="Bookman Old Style" w:hAnsi="Bookman Old Style" w:cs="Times New Roman"/>
        </w:rPr>
      </w:pPr>
      <w:r w:rsidRPr="00D6406A">
        <w:rPr>
          <w:rFonts w:ascii="Bookman Old Style" w:hAnsi="Bookman Old Style" w:cs="Times New Roman"/>
        </w:rPr>
        <w:lastRenderedPageBreak/>
        <w:t xml:space="preserve">Secondly, </w:t>
      </w:r>
      <w:r w:rsidR="00D6406A" w:rsidRPr="00D6406A">
        <w:rPr>
          <w:rFonts w:ascii="Bookman Old Style" w:hAnsi="Bookman Old Style" w:cs="Times New Roman"/>
        </w:rPr>
        <w:t xml:space="preserve">it needs to be discerned </w:t>
      </w:r>
      <w:r w:rsidR="00AC6272" w:rsidRPr="00D6406A">
        <w:rPr>
          <w:rFonts w:ascii="Bookman Old Style" w:hAnsi="Bookman Old Style" w:cs="Times New Roman"/>
        </w:rPr>
        <w:t xml:space="preserve">whether the instrument is intended to create or not to create an interest in the property the </w:t>
      </w:r>
      <w:r w:rsidR="00D6406A" w:rsidRPr="00D6406A">
        <w:rPr>
          <w:rFonts w:ascii="Bookman Old Style" w:hAnsi="Bookman Old Style" w:cs="Times New Roman"/>
        </w:rPr>
        <w:t>subject matter</w:t>
      </w:r>
      <w:r w:rsidR="00AC6272" w:rsidRPr="00D6406A">
        <w:rPr>
          <w:rFonts w:ascii="Bookman Old Style" w:hAnsi="Bookman Old Style" w:cs="Times New Roman"/>
        </w:rPr>
        <w:t> of the agreement. If it is in fact intended to create an interest in the property, it is a lease. I</w:t>
      </w:r>
      <w:r w:rsidR="00D6406A" w:rsidRPr="00D6406A">
        <w:rPr>
          <w:rFonts w:ascii="Bookman Old Style" w:hAnsi="Bookman Old Style" w:cs="Times New Roman"/>
        </w:rPr>
        <w:t>f it does not, it is a license.</w:t>
      </w:r>
    </w:p>
    <w:p w14:paraId="0DF3383C" w14:textId="46B53E87" w:rsidR="00AC6272" w:rsidRPr="00DC2665" w:rsidRDefault="00D6406A" w:rsidP="00D6406A">
      <w:pPr>
        <w:pStyle w:val="ListParagraph"/>
        <w:numPr>
          <w:ilvl w:val="0"/>
          <w:numId w:val="3"/>
        </w:numPr>
        <w:tabs>
          <w:tab w:val="left" w:pos="851"/>
        </w:tabs>
        <w:spacing w:before="240" w:after="200" w:line="480" w:lineRule="auto"/>
        <w:contextualSpacing w:val="0"/>
        <w:jc w:val="both"/>
        <w:rPr>
          <w:rFonts w:ascii="Bookman Old Style" w:hAnsi="Bookman Old Style" w:cs="Times New Roman"/>
          <w:i/>
        </w:rPr>
      </w:pPr>
      <w:r>
        <w:rPr>
          <w:rFonts w:ascii="Bookman Old Style" w:hAnsi="Bookman Old Style" w:cs="Times New Roman"/>
        </w:rPr>
        <w:t xml:space="preserve">Thirdly, </w:t>
      </w:r>
      <w:r w:rsidRPr="00D6406A">
        <w:rPr>
          <w:rFonts w:ascii="Bookman Old Style" w:hAnsi="Bookman Old Style" w:cs="Times New Roman"/>
        </w:rPr>
        <w:t>the test of exclusive possession though not decisive</w:t>
      </w:r>
      <w:r>
        <w:rPr>
          <w:rFonts w:ascii="Bookman Old Style" w:hAnsi="Bookman Old Style" w:cs="Times New Roman"/>
        </w:rPr>
        <w:t>, but</w:t>
      </w:r>
      <w:r w:rsidRPr="00D6406A">
        <w:rPr>
          <w:rFonts w:ascii="Bookman Old Style" w:hAnsi="Bookman Old Style" w:cs="Times New Roman"/>
        </w:rPr>
        <w:t xml:space="preserve"> is of significance</w:t>
      </w:r>
      <w:r>
        <w:rPr>
          <w:rFonts w:ascii="Bookman Old Style" w:hAnsi="Bookman Old Style" w:cs="Times New Roman"/>
        </w:rPr>
        <w:t>, i</w:t>
      </w:r>
      <w:r w:rsidRPr="00D6406A">
        <w:rPr>
          <w:rFonts w:ascii="Bookman Old Style" w:hAnsi="Bookman Old Style" w:cs="Times New Roman"/>
        </w:rPr>
        <w:t>n determining whether an agreement creates a lease or a license</w:t>
      </w:r>
      <w:r w:rsidR="00DC2665">
        <w:rPr>
          <w:rFonts w:ascii="Bookman Old Style" w:hAnsi="Bookman Old Style" w:cs="Times New Roman"/>
        </w:rPr>
        <w:t>.</w:t>
      </w:r>
    </w:p>
    <w:p w14:paraId="683E7AD3" w14:textId="5D6B5C21" w:rsidR="00AC6272" w:rsidRPr="0084141A" w:rsidRDefault="00DC2665" w:rsidP="00E67DD1">
      <w:pPr>
        <w:pStyle w:val="ListParagraph"/>
        <w:numPr>
          <w:ilvl w:val="0"/>
          <w:numId w:val="3"/>
        </w:numPr>
        <w:tabs>
          <w:tab w:val="left" w:pos="851"/>
        </w:tabs>
        <w:spacing w:before="240" w:after="200" w:line="480" w:lineRule="auto"/>
        <w:contextualSpacing w:val="0"/>
        <w:jc w:val="both"/>
        <w:rPr>
          <w:rFonts w:ascii="Bookman Old Style" w:hAnsi="Bookman Old Style" w:cs="Times New Roman"/>
        </w:rPr>
      </w:pPr>
      <w:r w:rsidRPr="0084141A">
        <w:rPr>
          <w:rFonts w:ascii="Bookman Old Style" w:hAnsi="Bookman Old Style" w:cs="Times New Roman"/>
        </w:rPr>
        <w:t xml:space="preserve">In view of the law as it exists today, it would not be half-bad for lawyers drafting license agreements </w:t>
      </w:r>
      <w:r w:rsidR="00AC6272" w:rsidRPr="0084141A">
        <w:rPr>
          <w:rFonts w:ascii="Bookman Old Style" w:hAnsi="Bookman Old Style" w:cs="Times New Roman"/>
        </w:rPr>
        <w:t xml:space="preserve">to add another clause which </w:t>
      </w:r>
      <w:r w:rsidRPr="0084141A">
        <w:rPr>
          <w:rFonts w:ascii="Bookman Old Style" w:hAnsi="Bookman Old Style" w:cs="Times New Roman"/>
        </w:rPr>
        <w:t>stipulates</w:t>
      </w:r>
      <w:r w:rsidR="00AC6272" w:rsidRPr="0084141A">
        <w:rPr>
          <w:rFonts w:ascii="Bookman Old Style" w:hAnsi="Bookman Old Style" w:cs="Times New Roman"/>
        </w:rPr>
        <w:t xml:space="preserve"> that the Licensee was signing the agreement only after obtaining independent legal advice from his own advocate, who signed with him below in token of his perfect understanding </w:t>
      </w:r>
      <w:r w:rsidRPr="0084141A">
        <w:rPr>
          <w:rFonts w:ascii="Bookman Old Style" w:hAnsi="Bookman Old Style" w:cs="Times New Roman"/>
        </w:rPr>
        <w:t>of each and every clause of the license</w:t>
      </w:r>
      <w:r w:rsidR="00E67DD1" w:rsidRPr="0084141A">
        <w:rPr>
          <w:rFonts w:ascii="Bookman Old Style" w:hAnsi="Bookman Old Style" w:cs="Times New Roman"/>
        </w:rPr>
        <w:t xml:space="preserve"> agreement and it is also better to advise clients </w:t>
      </w:r>
      <w:r w:rsidR="00AC6272" w:rsidRPr="0084141A">
        <w:rPr>
          <w:rFonts w:ascii="Bookman Old Style" w:hAnsi="Bookman Old Style" w:cs="Times New Roman"/>
        </w:rPr>
        <w:t xml:space="preserve">to secure an Affidavit from his prospective licensee to </w:t>
      </w:r>
      <w:proofErr w:type="spellStart"/>
      <w:r w:rsidR="00AC6272" w:rsidRPr="0084141A">
        <w:rPr>
          <w:rFonts w:ascii="Bookman Old Style" w:hAnsi="Bookman Old Style" w:cs="Times New Roman"/>
        </w:rPr>
        <w:t>annexe</w:t>
      </w:r>
      <w:proofErr w:type="spellEnd"/>
      <w:r w:rsidR="00AC6272" w:rsidRPr="0084141A">
        <w:rPr>
          <w:rFonts w:ascii="Bookman Old Style" w:hAnsi="Bookman Old Style" w:cs="Times New Roman"/>
        </w:rPr>
        <w:t xml:space="preserve"> it to the </w:t>
      </w:r>
      <w:r w:rsidR="0084141A" w:rsidRPr="0084141A">
        <w:rPr>
          <w:rFonts w:ascii="Bookman Old Style" w:hAnsi="Bookman Old Style" w:cs="Times New Roman"/>
        </w:rPr>
        <w:t>license</w:t>
      </w:r>
      <w:r w:rsidR="00AC6272" w:rsidRPr="0084141A">
        <w:rPr>
          <w:rFonts w:ascii="Bookman Old Style" w:hAnsi="Bookman Old Style" w:cs="Times New Roman"/>
        </w:rPr>
        <w:t xml:space="preserve"> agreement and have it all registered, lest his licensee got some </w:t>
      </w:r>
      <w:r w:rsidR="0084141A">
        <w:rPr>
          <w:rFonts w:ascii="Bookman Old Style" w:hAnsi="Bookman Old Style" w:cs="Times New Roman"/>
        </w:rPr>
        <w:t>brain-waive</w:t>
      </w:r>
      <w:r w:rsidR="00AC6272" w:rsidRPr="0084141A">
        <w:rPr>
          <w:rFonts w:ascii="Bookman Old Style" w:hAnsi="Bookman Old Style" w:cs="Times New Roman"/>
        </w:rPr>
        <w:t xml:space="preserve"> at a future date. </w:t>
      </w:r>
      <w:bookmarkStart w:id="0" w:name="_GoBack"/>
      <w:bookmarkEnd w:id="0"/>
    </w:p>
    <w:p w14:paraId="1E9D14FE" w14:textId="0D60B20C" w:rsidR="00AC6272" w:rsidRPr="00431C13" w:rsidRDefault="00AC6272" w:rsidP="00DC2665">
      <w:pPr>
        <w:spacing w:after="200" w:line="480" w:lineRule="auto"/>
        <w:jc w:val="both"/>
        <w:rPr>
          <w:rFonts w:ascii="Bookman Old Style" w:hAnsi="Bookman Old Style" w:cs="Times New Roman"/>
          <w:i/>
        </w:rPr>
      </w:pPr>
    </w:p>
    <w:p w14:paraId="22A2019C" w14:textId="77777777" w:rsidR="00AC6272" w:rsidRPr="00DD4909" w:rsidRDefault="00AC6272" w:rsidP="00431C13">
      <w:pPr>
        <w:spacing w:after="200" w:line="480" w:lineRule="auto"/>
        <w:rPr>
          <w:rFonts w:ascii="Bookman Old Style" w:hAnsi="Bookman Old Style" w:cs="Times New Roman"/>
        </w:rPr>
      </w:pPr>
    </w:p>
    <w:sectPr w:rsidR="00AC6272" w:rsidRPr="00DD4909" w:rsidSect="00DD4909">
      <w:headerReference w:type="even" r:id="rId9"/>
      <w:headerReference w:type="default" r:id="rId10"/>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48BC3" w14:textId="77777777" w:rsidR="00E67DD1" w:rsidRDefault="00E67DD1" w:rsidP="00DD4909">
      <w:r>
        <w:separator/>
      </w:r>
    </w:p>
  </w:endnote>
  <w:endnote w:type="continuationSeparator" w:id="0">
    <w:p w14:paraId="730094ED" w14:textId="77777777" w:rsidR="00E67DD1" w:rsidRDefault="00E67DD1" w:rsidP="00DD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2316D" w14:textId="77777777" w:rsidR="00E67DD1" w:rsidRDefault="00E67DD1" w:rsidP="00DD4909">
      <w:r>
        <w:separator/>
      </w:r>
    </w:p>
  </w:footnote>
  <w:footnote w:type="continuationSeparator" w:id="0">
    <w:p w14:paraId="695AA3B7" w14:textId="77777777" w:rsidR="00E67DD1" w:rsidRDefault="00E67DD1" w:rsidP="00DD4909">
      <w:r>
        <w:continuationSeparator/>
      </w:r>
    </w:p>
  </w:footnote>
  <w:footnote w:id="1">
    <w:p w14:paraId="5D222F49" w14:textId="77777777" w:rsidR="00E67DD1" w:rsidRDefault="00E67DD1">
      <w:pPr>
        <w:pStyle w:val="FootnoteText0"/>
      </w:pPr>
      <w:r>
        <w:rPr>
          <w:rStyle w:val="FootnoteReference"/>
        </w:rPr>
        <w:footnoteRef/>
      </w:r>
      <w:r>
        <w:t xml:space="preserve"> </w:t>
      </w:r>
      <w:r w:rsidRPr="00DD4909">
        <w:rPr>
          <w:rFonts w:ascii="Bookman Old Style" w:hAnsi="Bookman Old Style" w:cs="Times New Roman"/>
          <w:color w:val="333333"/>
          <w:sz w:val="20"/>
          <w:szCs w:val="20"/>
        </w:rPr>
        <w:t>(1971) 1 SCC 276 </w:t>
      </w:r>
    </w:p>
  </w:footnote>
  <w:footnote w:id="2">
    <w:p w14:paraId="037CDF9C" w14:textId="77777777" w:rsidR="00E67DD1" w:rsidRDefault="00E67DD1">
      <w:pPr>
        <w:pStyle w:val="FootnoteText0"/>
      </w:pPr>
      <w:r>
        <w:rPr>
          <w:rStyle w:val="FootnoteReference"/>
        </w:rPr>
        <w:footnoteRef/>
      </w:r>
      <w:r>
        <w:t xml:space="preserve"> </w:t>
      </w:r>
      <w:r w:rsidRPr="00DD4909">
        <w:rPr>
          <w:rFonts w:ascii="Bookman Old Style" w:hAnsi="Bookman Old Style" w:cs="Times New Roman"/>
          <w:sz w:val="20"/>
          <w:szCs w:val="20"/>
        </w:rPr>
        <w:t>AIR 1968 SC 919</w:t>
      </w:r>
    </w:p>
  </w:footnote>
  <w:footnote w:id="3">
    <w:p w14:paraId="689B2036" w14:textId="77777777" w:rsidR="00E67DD1" w:rsidRDefault="00E67DD1">
      <w:pPr>
        <w:pStyle w:val="FootnoteText0"/>
      </w:pPr>
      <w:r>
        <w:rPr>
          <w:rStyle w:val="FootnoteReference"/>
        </w:rPr>
        <w:footnoteRef/>
      </w:r>
      <w:r>
        <w:t xml:space="preserve"> </w:t>
      </w:r>
      <w:r w:rsidRPr="008349E9">
        <w:rPr>
          <w:rFonts w:ascii="Bookman Old Style" w:hAnsi="Bookman Old Style" w:cs="Times New Roman"/>
          <w:sz w:val="20"/>
          <w:szCs w:val="20"/>
        </w:rPr>
        <w:t>AIR 1965 SC 610</w:t>
      </w:r>
    </w:p>
  </w:footnote>
  <w:footnote w:id="4">
    <w:p w14:paraId="222FAED5" w14:textId="77777777" w:rsidR="00E67DD1" w:rsidRDefault="00E67DD1">
      <w:pPr>
        <w:pStyle w:val="FootnoteText0"/>
      </w:pPr>
      <w:r>
        <w:rPr>
          <w:rStyle w:val="FootnoteReference"/>
        </w:rPr>
        <w:footnoteRef/>
      </w:r>
      <w:r>
        <w:t xml:space="preserve"> </w:t>
      </w:r>
      <w:r w:rsidRPr="008349E9">
        <w:rPr>
          <w:rFonts w:ascii="Bookman Old Style" w:hAnsi="Bookman Old Style" w:cs="Times New Roman"/>
          <w:sz w:val="20"/>
          <w:szCs w:val="20"/>
        </w:rPr>
        <w:t>AIR 1959 SC 1262</w:t>
      </w:r>
    </w:p>
  </w:footnote>
  <w:footnote w:id="5">
    <w:p w14:paraId="7737FBB3" w14:textId="38AC3227" w:rsidR="00E67DD1" w:rsidRDefault="00E67DD1">
      <w:pPr>
        <w:pStyle w:val="FootnoteText0"/>
      </w:pPr>
      <w:r>
        <w:rPr>
          <w:rStyle w:val="FootnoteReference"/>
        </w:rPr>
        <w:footnoteRef/>
      </w:r>
      <w:r>
        <w:t xml:space="preserve"> </w:t>
      </w:r>
      <w:r w:rsidRPr="00AC6272">
        <w:rPr>
          <w:rFonts w:ascii="Bookman Old Style" w:hAnsi="Bookman Old Style" w:cs="Times New Roman"/>
          <w:sz w:val="20"/>
          <w:szCs w:val="20"/>
        </w:rPr>
        <w:t>(Seventeenth Edition, Vol.1, at pages 14-15)</w:t>
      </w:r>
    </w:p>
  </w:footnote>
  <w:footnote w:id="6">
    <w:p w14:paraId="28EB22C5" w14:textId="0B3312A3" w:rsidR="00E67DD1" w:rsidRDefault="00E67DD1">
      <w:pPr>
        <w:pStyle w:val="FootnoteText0"/>
      </w:pPr>
      <w:r>
        <w:rPr>
          <w:rStyle w:val="FootnoteReference"/>
        </w:rPr>
        <w:footnoteRef/>
      </w:r>
      <w:r>
        <w:t xml:space="preserve"> </w:t>
      </w:r>
      <w:r w:rsidRPr="007E28BE">
        <w:rPr>
          <w:rFonts w:ascii="Bookman Old Style" w:hAnsi="Bookman Old Style" w:cs="Times New Roman"/>
          <w:sz w:val="20"/>
          <w:szCs w:val="20"/>
        </w:rPr>
        <w:t>2004 (3) SCC 595</w:t>
      </w:r>
    </w:p>
  </w:footnote>
  <w:footnote w:id="7">
    <w:p w14:paraId="70B8B19A" w14:textId="4A4EE890" w:rsidR="00E67DD1" w:rsidRDefault="00E67DD1">
      <w:pPr>
        <w:pStyle w:val="FootnoteText0"/>
      </w:pPr>
      <w:r>
        <w:rPr>
          <w:rStyle w:val="FootnoteReference"/>
        </w:rPr>
        <w:footnoteRef/>
      </w:r>
      <w:r>
        <w:t xml:space="preserve"> </w:t>
      </w:r>
      <w:r w:rsidRPr="009A1452">
        <w:rPr>
          <w:rFonts w:ascii="Bookman Old Style" w:eastAsia="Times New Roman" w:hAnsi="Bookman Old Style" w:cs="Times New Roman"/>
          <w:color w:val="2E2E2E"/>
          <w:sz w:val="20"/>
          <w:szCs w:val="20"/>
          <w:shd w:val="clear" w:color="auto" w:fill="FFFFFF"/>
        </w:rPr>
        <w:t>(2009) 10 SCC 455</w:t>
      </w:r>
    </w:p>
  </w:footnote>
  <w:footnote w:id="8">
    <w:p w14:paraId="43624939" w14:textId="60DFF095" w:rsidR="00E67DD1" w:rsidRDefault="00E67DD1">
      <w:pPr>
        <w:pStyle w:val="FootnoteText0"/>
      </w:pPr>
      <w:r>
        <w:rPr>
          <w:rStyle w:val="FootnoteReference"/>
        </w:rPr>
        <w:footnoteRef/>
      </w:r>
      <w:r>
        <w:t xml:space="preserve"> </w:t>
      </w:r>
      <w:r w:rsidRPr="009A1452">
        <w:rPr>
          <w:rFonts w:ascii="Bookman Old Style" w:eastAsia="Times New Roman" w:hAnsi="Bookman Old Style" w:cs="Times New Roman"/>
          <w:color w:val="2E2E2E"/>
          <w:sz w:val="20"/>
          <w:szCs w:val="20"/>
          <w:shd w:val="clear" w:color="auto" w:fill="FFFFFF"/>
        </w:rPr>
        <w:t>(2011)</w:t>
      </w:r>
      <w:r>
        <w:rPr>
          <w:rFonts w:ascii="Bookman Old Style" w:eastAsia="Times New Roman" w:hAnsi="Bookman Old Style" w:cs="Times New Roman"/>
          <w:color w:val="2E2E2E"/>
          <w:sz w:val="20"/>
          <w:szCs w:val="20"/>
          <w:shd w:val="clear" w:color="auto" w:fill="FFFFFF"/>
        </w:rPr>
        <w:t xml:space="preserve"> </w:t>
      </w:r>
      <w:r w:rsidRPr="009A1452">
        <w:rPr>
          <w:rFonts w:ascii="Bookman Old Style" w:eastAsia="Times New Roman" w:hAnsi="Bookman Old Style" w:cs="Times New Roman"/>
          <w:color w:val="2E2E2E"/>
          <w:sz w:val="20"/>
          <w:szCs w:val="20"/>
          <w:shd w:val="clear" w:color="auto" w:fill="FFFFFF"/>
        </w:rPr>
        <w:t>3</w:t>
      </w:r>
      <w:r>
        <w:rPr>
          <w:rFonts w:ascii="Bookman Old Style" w:eastAsia="Times New Roman" w:hAnsi="Bookman Old Style" w:cs="Times New Roman"/>
          <w:color w:val="2E2E2E"/>
          <w:sz w:val="20"/>
          <w:szCs w:val="20"/>
          <w:shd w:val="clear" w:color="auto" w:fill="FFFFFF"/>
        </w:rPr>
        <w:t xml:space="preserve"> </w:t>
      </w:r>
      <w:r w:rsidRPr="009A1452">
        <w:rPr>
          <w:rFonts w:ascii="Bookman Old Style" w:eastAsia="Times New Roman" w:hAnsi="Bookman Old Style" w:cs="Times New Roman"/>
          <w:color w:val="2E2E2E"/>
          <w:sz w:val="20"/>
          <w:szCs w:val="20"/>
          <w:shd w:val="clear" w:color="auto" w:fill="FFFFFF"/>
        </w:rPr>
        <w:t>SCC</w:t>
      </w:r>
      <w:r>
        <w:rPr>
          <w:rFonts w:ascii="Bookman Old Style" w:eastAsia="Times New Roman" w:hAnsi="Bookman Old Style" w:cs="Times New Roman"/>
          <w:color w:val="2E2E2E"/>
          <w:sz w:val="20"/>
          <w:szCs w:val="20"/>
          <w:shd w:val="clear" w:color="auto" w:fill="FFFFFF"/>
        </w:rPr>
        <w:t xml:space="preserve"> </w:t>
      </w:r>
      <w:r w:rsidRPr="009A1452">
        <w:rPr>
          <w:rFonts w:ascii="Bookman Old Style" w:eastAsia="Times New Roman" w:hAnsi="Bookman Old Style" w:cs="Times New Roman"/>
          <w:color w:val="2E2E2E"/>
          <w:sz w:val="20"/>
          <w:szCs w:val="20"/>
          <w:shd w:val="clear" w:color="auto" w:fill="FFFFFF"/>
        </w:rPr>
        <w:t>710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DFCFE" w14:textId="77777777" w:rsidR="00E67DD1" w:rsidRDefault="00E67DD1" w:rsidP="00DD4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FF8C97" w14:textId="77777777" w:rsidR="00E67DD1" w:rsidRDefault="00E67DD1" w:rsidP="00DD490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C9D9" w14:textId="77777777" w:rsidR="00E67DD1" w:rsidRDefault="00E67DD1" w:rsidP="00DD4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41A">
      <w:rPr>
        <w:rStyle w:val="PageNumber"/>
        <w:noProof/>
      </w:rPr>
      <w:t>9</w:t>
    </w:r>
    <w:r>
      <w:rPr>
        <w:rStyle w:val="PageNumber"/>
      </w:rPr>
      <w:fldChar w:fldCharType="end"/>
    </w:r>
  </w:p>
  <w:p w14:paraId="79C62EFE" w14:textId="77777777" w:rsidR="00E67DD1" w:rsidRDefault="00E67DD1" w:rsidP="00DD490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0689B"/>
    <w:multiLevelType w:val="multilevel"/>
    <w:tmpl w:val="9338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94252"/>
    <w:multiLevelType w:val="multilevel"/>
    <w:tmpl w:val="20E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AB6B74"/>
    <w:multiLevelType w:val="hybridMultilevel"/>
    <w:tmpl w:val="D37E2768"/>
    <w:lvl w:ilvl="0" w:tplc="30DCEA1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372B9"/>
    <w:multiLevelType w:val="multilevel"/>
    <w:tmpl w:val="FFCCC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2C"/>
    <w:rsid w:val="00055A66"/>
    <w:rsid w:val="0008762C"/>
    <w:rsid w:val="000D5235"/>
    <w:rsid w:val="000D6B06"/>
    <w:rsid w:val="000E1BB2"/>
    <w:rsid w:val="000F3597"/>
    <w:rsid w:val="000F5365"/>
    <w:rsid w:val="00145CA7"/>
    <w:rsid w:val="003040A5"/>
    <w:rsid w:val="003448CB"/>
    <w:rsid w:val="00353D3A"/>
    <w:rsid w:val="00431C13"/>
    <w:rsid w:val="00435A19"/>
    <w:rsid w:val="004E730D"/>
    <w:rsid w:val="0052005A"/>
    <w:rsid w:val="00532AA2"/>
    <w:rsid w:val="005828D7"/>
    <w:rsid w:val="006F1988"/>
    <w:rsid w:val="007E28BE"/>
    <w:rsid w:val="008349E9"/>
    <w:rsid w:val="0084141A"/>
    <w:rsid w:val="00964C15"/>
    <w:rsid w:val="009A1452"/>
    <w:rsid w:val="00A37C7D"/>
    <w:rsid w:val="00A82445"/>
    <w:rsid w:val="00AC6272"/>
    <w:rsid w:val="00D6406A"/>
    <w:rsid w:val="00DC2665"/>
    <w:rsid w:val="00DD4909"/>
    <w:rsid w:val="00E67DD1"/>
    <w:rsid w:val="00E91983"/>
    <w:rsid w:val="00F61D9A"/>
    <w:rsid w:val="00F80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084A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62C"/>
    <w:rPr>
      <w:color w:val="0000FF"/>
      <w:u w:val="single"/>
    </w:rPr>
  </w:style>
  <w:style w:type="character" w:styleId="FollowedHyperlink">
    <w:name w:val="FollowedHyperlink"/>
    <w:basedOn w:val="DefaultParagraphFont"/>
    <w:uiPriority w:val="99"/>
    <w:semiHidden/>
    <w:unhideWhenUsed/>
    <w:rsid w:val="0008762C"/>
    <w:rPr>
      <w:color w:val="800080"/>
      <w:u w:val="single"/>
    </w:rPr>
  </w:style>
  <w:style w:type="character" w:customStyle="1" w:styleId="highlight">
    <w:name w:val="highlight"/>
    <w:basedOn w:val="DefaultParagraphFont"/>
    <w:rsid w:val="0008762C"/>
  </w:style>
  <w:style w:type="paragraph" w:customStyle="1" w:styleId="scccit">
    <w:name w:val="scc_cit"/>
    <w:basedOn w:val="Normal"/>
    <w:rsid w:val="0008762C"/>
    <w:pPr>
      <w:spacing w:before="100" w:beforeAutospacing="1" w:after="100" w:afterAutospacing="1"/>
    </w:pPr>
    <w:rPr>
      <w:rFonts w:ascii="Times" w:hAnsi="Times"/>
      <w:sz w:val="20"/>
      <w:szCs w:val="20"/>
    </w:rPr>
  </w:style>
  <w:style w:type="paragraph" w:customStyle="1" w:styleId="author">
    <w:name w:val="author"/>
    <w:basedOn w:val="Normal"/>
    <w:rsid w:val="0008762C"/>
    <w:pPr>
      <w:spacing w:before="100" w:beforeAutospacing="1" w:after="100" w:afterAutospacing="1"/>
    </w:pPr>
    <w:rPr>
      <w:rFonts w:ascii="Times" w:hAnsi="Times"/>
      <w:sz w:val="20"/>
      <w:szCs w:val="20"/>
    </w:rPr>
  </w:style>
  <w:style w:type="paragraph" w:customStyle="1" w:styleId="j2">
    <w:name w:val="j2"/>
    <w:basedOn w:val="Normal"/>
    <w:rsid w:val="0008762C"/>
    <w:pPr>
      <w:spacing w:before="100" w:beforeAutospacing="1" w:after="100" w:afterAutospacing="1"/>
    </w:pPr>
    <w:rPr>
      <w:rFonts w:ascii="Times" w:hAnsi="Times"/>
      <w:sz w:val="20"/>
      <w:szCs w:val="20"/>
    </w:rPr>
  </w:style>
  <w:style w:type="paragraph" w:customStyle="1" w:styleId="j1">
    <w:name w:val="j1"/>
    <w:basedOn w:val="Normal"/>
    <w:rsid w:val="0008762C"/>
    <w:pPr>
      <w:spacing w:before="100" w:beforeAutospacing="1" w:after="100" w:afterAutospacing="1"/>
    </w:pPr>
    <w:rPr>
      <w:rFonts w:ascii="Times" w:hAnsi="Times"/>
      <w:sz w:val="20"/>
      <w:szCs w:val="20"/>
    </w:rPr>
  </w:style>
  <w:style w:type="paragraph" w:customStyle="1" w:styleId="dash">
    <w:name w:val="dash"/>
    <w:basedOn w:val="Normal"/>
    <w:rsid w:val="0008762C"/>
    <w:pPr>
      <w:spacing w:before="100" w:beforeAutospacing="1" w:after="100" w:afterAutospacing="1"/>
    </w:pPr>
    <w:rPr>
      <w:rFonts w:ascii="Times" w:hAnsi="Times"/>
      <w:sz w:val="20"/>
      <w:szCs w:val="20"/>
    </w:rPr>
  </w:style>
  <w:style w:type="paragraph" w:customStyle="1" w:styleId="footnotetext">
    <w:name w:val="footnote_text"/>
    <w:basedOn w:val="Normal"/>
    <w:rsid w:val="0008762C"/>
    <w:pPr>
      <w:spacing w:before="100" w:beforeAutospacing="1" w:after="100" w:afterAutospacing="1"/>
    </w:pPr>
    <w:rPr>
      <w:rFonts w:ascii="Times" w:hAnsi="Times"/>
      <w:sz w:val="20"/>
      <w:szCs w:val="20"/>
    </w:rPr>
  </w:style>
  <w:style w:type="character" w:customStyle="1" w:styleId="copyrights">
    <w:name w:val="copyrights"/>
    <w:basedOn w:val="DefaultParagraphFont"/>
    <w:rsid w:val="0008762C"/>
  </w:style>
  <w:style w:type="paragraph" w:styleId="FootnoteText0">
    <w:name w:val="footnote text"/>
    <w:basedOn w:val="Normal"/>
    <w:link w:val="FootnoteTextChar"/>
    <w:uiPriority w:val="99"/>
    <w:unhideWhenUsed/>
    <w:rsid w:val="00DD4909"/>
  </w:style>
  <w:style w:type="character" w:customStyle="1" w:styleId="FootnoteTextChar">
    <w:name w:val="Footnote Text Char"/>
    <w:basedOn w:val="DefaultParagraphFont"/>
    <w:link w:val="FootnoteText0"/>
    <w:uiPriority w:val="99"/>
    <w:rsid w:val="00DD4909"/>
  </w:style>
  <w:style w:type="character" w:styleId="FootnoteReference">
    <w:name w:val="footnote reference"/>
    <w:basedOn w:val="DefaultParagraphFont"/>
    <w:uiPriority w:val="99"/>
    <w:unhideWhenUsed/>
    <w:rsid w:val="00DD4909"/>
    <w:rPr>
      <w:vertAlign w:val="superscript"/>
    </w:rPr>
  </w:style>
  <w:style w:type="paragraph" w:styleId="Header">
    <w:name w:val="header"/>
    <w:basedOn w:val="Normal"/>
    <w:link w:val="HeaderChar"/>
    <w:uiPriority w:val="99"/>
    <w:unhideWhenUsed/>
    <w:rsid w:val="00DD4909"/>
    <w:pPr>
      <w:tabs>
        <w:tab w:val="center" w:pos="4320"/>
        <w:tab w:val="right" w:pos="8640"/>
      </w:tabs>
    </w:pPr>
  </w:style>
  <w:style w:type="character" w:customStyle="1" w:styleId="HeaderChar">
    <w:name w:val="Header Char"/>
    <w:basedOn w:val="DefaultParagraphFont"/>
    <w:link w:val="Header"/>
    <w:uiPriority w:val="99"/>
    <w:rsid w:val="00DD4909"/>
  </w:style>
  <w:style w:type="paragraph" w:styleId="Footer">
    <w:name w:val="footer"/>
    <w:basedOn w:val="Normal"/>
    <w:link w:val="FooterChar"/>
    <w:uiPriority w:val="99"/>
    <w:unhideWhenUsed/>
    <w:rsid w:val="00DD4909"/>
    <w:pPr>
      <w:tabs>
        <w:tab w:val="center" w:pos="4320"/>
        <w:tab w:val="right" w:pos="8640"/>
      </w:tabs>
    </w:pPr>
  </w:style>
  <w:style w:type="character" w:customStyle="1" w:styleId="FooterChar">
    <w:name w:val="Footer Char"/>
    <w:basedOn w:val="DefaultParagraphFont"/>
    <w:link w:val="Footer"/>
    <w:uiPriority w:val="99"/>
    <w:rsid w:val="00DD4909"/>
  </w:style>
  <w:style w:type="character" w:styleId="PageNumber">
    <w:name w:val="page number"/>
    <w:basedOn w:val="DefaultParagraphFont"/>
    <w:uiPriority w:val="99"/>
    <w:semiHidden/>
    <w:unhideWhenUsed/>
    <w:rsid w:val="00DD4909"/>
  </w:style>
  <w:style w:type="paragraph" w:styleId="ListParagraph">
    <w:name w:val="List Paragraph"/>
    <w:basedOn w:val="Normal"/>
    <w:uiPriority w:val="34"/>
    <w:qFormat/>
    <w:rsid w:val="00353D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62C"/>
    <w:rPr>
      <w:color w:val="0000FF"/>
      <w:u w:val="single"/>
    </w:rPr>
  </w:style>
  <w:style w:type="character" w:styleId="FollowedHyperlink">
    <w:name w:val="FollowedHyperlink"/>
    <w:basedOn w:val="DefaultParagraphFont"/>
    <w:uiPriority w:val="99"/>
    <w:semiHidden/>
    <w:unhideWhenUsed/>
    <w:rsid w:val="0008762C"/>
    <w:rPr>
      <w:color w:val="800080"/>
      <w:u w:val="single"/>
    </w:rPr>
  </w:style>
  <w:style w:type="character" w:customStyle="1" w:styleId="highlight">
    <w:name w:val="highlight"/>
    <w:basedOn w:val="DefaultParagraphFont"/>
    <w:rsid w:val="0008762C"/>
  </w:style>
  <w:style w:type="paragraph" w:customStyle="1" w:styleId="scccit">
    <w:name w:val="scc_cit"/>
    <w:basedOn w:val="Normal"/>
    <w:rsid w:val="0008762C"/>
    <w:pPr>
      <w:spacing w:before="100" w:beforeAutospacing="1" w:after="100" w:afterAutospacing="1"/>
    </w:pPr>
    <w:rPr>
      <w:rFonts w:ascii="Times" w:hAnsi="Times"/>
      <w:sz w:val="20"/>
      <w:szCs w:val="20"/>
    </w:rPr>
  </w:style>
  <w:style w:type="paragraph" w:customStyle="1" w:styleId="author">
    <w:name w:val="author"/>
    <w:basedOn w:val="Normal"/>
    <w:rsid w:val="0008762C"/>
    <w:pPr>
      <w:spacing w:before="100" w:beforeAutospacing="1" w:after="100" w:afterAutospacing="1"/>
    </w:pPr>
    <w:rPr>
      <w:rFonts w:ascii="Times" w:hAnsi="Times"/>
      <w:sz w:val="20"/>
      <w:szCs w:val="20"/>
    </w:rPr>
  </w:style>
  <w:style w:type="paragraph" w:customStyle="1" w:styleId="j2">
    <w:name w:val="j2"/>
    <w:basedOn w:val="Normal"/>
    <w:rsid w:val="0008762C"/>
    <w:pPr>
      <w:spacing w:before="100" w:beforeAutospacing="1" w:after="100" w:afterAutospacing="1"/>
    </w:pPr>
    <w:rPr>
      <w:rFonts w:ascii="Times" w:hAnsi="Times"/>
      <w:sz w:val="20"/>
      <w:szCs w:val="20"/>
    </w:rPr>
  </w:style>
  <w:style w:type="paragraph" w:customStyle="1" w:styleId="j1">
    <w:name w:val="j1"/>
    <w:basedOn w:val="Normal"/>
    <w:rsid w:val="0008762C"/>
    <w:pPr>
      <w:spacing w:before="100" w:beforeAutospacing="1" w:after="100" w:afterAutospacing="1"/>
    </w:pPr>
    <w:rPr>
      <w:rFonts w:ascii="Times" w:hAnsi="Times"/>
      <w:sz w:val="20"/>
      <w:szCs w:val="20"/>
    </w:rPr>
  </w:style>
  <w:style w:type="paragraph" w:customStyle="1" w:styleId="dash">
    <w:name w:val="dash"/>
    <w:basedOn w:val="Normal"/>
    <w:rsid w:val="0008762C"/>
    <w:pPr>
      <w:spacing w:before="100" w:beforeAutospacing="1" w:after="100" w:afterAutospacing="1"/>
    </w:pPr>
    <w:rPr>
      <w:rFonts w:ascii="Times" w:hAnsi="Times"/>
      <w:sz w:val="20"/>
      <w:szCs w:val="20"/>
    </w:rPr>
  </w:style>
  <w:style w:type="paragraph" w:customStyle="1" w:styleId="footnotetext">
    <w:name w:val="footnote_text"/>
    <w:basedOn w:val="Normal"/>
    <w:rsid w:val="0008762C"/>
    <w:pPr>
      <w:spacing w:before="100" w:beforeAutospacing="1" w:after="100" w:afterAutospacing="1"/>
    </w:pPr>
    <w:rPr>
      <w:rFonts w:ascii="Times" w:hAnsi="Times"/>
      <w:sz w:val="20"/>
      <w:szCs w:val="20"/>
    </w:rPr>
  </w:style>
  <w:style w:type="character" w:customStyle="1" w:styleId="copyrights">
    <w:name w:val="copyrights"/>
    <w:basedOn w:val="DefaultParagraphFont"/>
    <w:rsid w:val="0008762C"/>
  </w:style>
  <w:style w:type="paragraph" w:styleId="FootnoteText0">
    <w:name w:val="footnote text"/>
    <w:basedOn w:val="Normal"/>
    <w:link w:val="FootnoteTextChar"/>
    <w:uiPriority w:val="99"/>
    <w:unhideWhenUsed/>
    <w:rsid w:val="00DD4909"/>
  </w:style>
  <w:style w:type="character" w:customStyle="1" w:styleId="FootnoteTextChar">
    <w:name w:val="Footnote Text Char"/>
    <w:basedOn w:val="DefaultParagraphFont"/>
    <w:link w:val="FootnoteText0"/>
    <w:uiPriority w:val="99"/>
    <w:rsid w:val="00DD4909"/>
  </w:style>
  <w:style w:type="character" w:styleId="FootnoteReference">
    <w:name w:val="footnote reference"/>
    <w:basedOn w:val="DefaultParagraphFont"/>
    <w:uiPriority w:val="99"/>
    <w:unhideWhenUsed/>
    <w:rsid w:val="00DD4909"/>
    <w:rPr>
      <w:vertAlign w:val="superscript"/>
    </w:rPr>
  </w:style>
  <w:style w:type="paragraph" w:styleId="Header">
    <w:name w:val="header"/>
    <w:basedOn w:val="Normal"/>
    <w:link w:val="HeaderChar"/>
    <w:uiPriority w:val="99"/>
    <w:unhideWhenUsed/>
    <w:rsid w:val="00DD4909"/>
    <w:pPr>
      <w:tabs>
        <w:tab w:val="center" w:pos="4320"/>
        <w:tab w:val="right" w:pos="8640"/>
      </w:tabs>
    </w:pPr>
  </w:style>
  <w:style w:type="character" w:customStyle="1" w:styleId="HeaderChar">
    <w:name w:val="Header Char"/>
    <w:basedOn w:val="DefaultParagraphFont"/>
    <w:link w:val="Header"/>
    <w:uiPriority w:val="99"/>
    <w:rsid w:val="00DD4909"/>
  </w:style>
  <w:style w:type="paragraph" w:styleId="Footer">
    <w:name w:val="footer"/>
    <w:basedOn w:val="Normal"/>
    <w:link w:val="FooterChar"/>
    <w:uiPriority w:val="99"/>
    <w:unhideWhenUsed/>
    <w:rsid w:val="00DD4909"/>
    <w:pPr>
      <w:tabs>
        <w:tab w:val="center" w:pos="4320"/>
        <w:tab w:val="right" w:pos="8640"/>
      </w:tabs>
    </w:pPr>
  </w:style>
  <w:style w:type="character" w:customStyle="1" w:styleId="FooterChar">
    <w:name w:val="Footer Char"/>
    <w:basedOn w:val="DefaultParagraphFont"/>
    <w:link w:val="Footer"/>
    <w:uiPriority w:val="99"/>
    <w:rsid w:val="00DD4909"/>
  </w:style>
  <w:style w:type="character" w:styleId="PageNumber">
    <w:name w:val="page number"/>
    <w:basedOn w:val="DefaultParagraphFont"/>
    <w:uiPriority w:val="99"/>
    <w:semiHidden/>
    <w:unhideWhenUsed/>
    <w:rsid w:val="00DD4909"/>
  </w:style>
  <w:style w:type="paragraph" w:styleId="ListParagraph">
    <w:name w:val="List Paragraph"/>
    <w:basedOn w:val="Normal"/>
    <w:uiPriority w:val="34"/>
    <w:qFormat/>
    <w:rsid w:val="00353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0961">
      <w:bodyDiv w:val="1"/>
      <w:marLeft w:val="0"/>
      <w:marRight w:val="0"/>
      <w:marTop w:val="0"/>
      <w:marBottom w:val="0"/>
      <w:divBdr>
        <w:top w:val="none" w:sz="0" w:space="0" w:color="auto"/>
        <w:left w:val="none" w:sz="0" w:space="0" w:color="auto"/>
        <w:bottom w:val="none" w:sz="0" w:space="0" w:color="auto"/>
        <w:right w:val="none" w:sz="0" w:space="0" w:color="auto"/>
      </w:divBdr>
    </w:div>
    <w:div w:id="295257657">
      <w:bodyDiv w:val="1"/>
      <w:marLeft w:val="0"/>
      <w:marRight w:val="0"/>
      <w:marTop w:val="0"/>
      <w:marBottom w:val="0"/>
      <w:divBdr>
        <w:top w:val="none" w:sz="0" w:space="0" w:color="auto"/>
        <w:left w:val="none" w:sz="0" w:space="0" w:color="auto"/>
        <w:bottom w:val="none" w:sz="0" w:space="0" w:color="auto"/>
        <w:right w:val="none" w:sz="0" w:space="0" w:color="auto"/>
      </w:divBdr>
      <w:divsChild>
        <w:div w:id="1977908521">
          <w:marLeft w:val="0"/>
          <w:marRight w:val="0"/>
          <w:marTop w:val="0"/>
          <w:marBottom w:val="0"/>
          <w:divBdr>
            <w:top w:val="none" w:sz="0" w:space="0" w:color="auto"/>
            <w:left w:val="none" w:sz="0" w:space="0" w:color="auto"/>
            <w:bottom w:val="none" w:sz="0" w:space="0" w:color="auto"/>
            <w:right w:val="none" w:sz="0" w:space="0" w:color="auto"/>
          </w:divBdr>
        </w:div>
        <w:div w:id="1108694586">
          <w:marLeft w:val="0"/>
          <w:marRight w:val="0"/>
          <w:marTop w:val="675"/>
          <w:marBottom w:val="0"/>
          <w:divBdr>
            <w:top w:val="none" w:sz="0" w:space="0" w:color="auto"/>
            <w:left w:val="none" w:sz="0" w:space="0" w:color="auto"/>
            <w:bottom w:val="none" w:sz="0" w:space="0" w:color="auto"/>
            <w:right w:val="none" w:sz="0" w:space="0" w:color="auto"/>
          </w:divBdr>
          <w:divsChild>
            <w:div w:id="541668848">
              <w:marLeft w:val="0"/>
              <w:marRight w:val="0"/>
              <w:marTop w:val="0"/>
              <w:marBottom w:val="0"/>
              <w:divBdr>
                <w:top w:val="none" w:sz="0" w:space="0" w:color="auto"/>
                <w:left w:val="none" w:sz="0" w:space="0" w:color="auto"/>
                <w:bottom w:val="none" w:sz="0" w:space="0" w:color="auto"/>
                <w:right w:val="none" w:sz="0" w:space="0" w:color="auto"/>
              </w:divBdr>
              <w:divsChild>
                <w:div w:id="1700662837">
                  <w:marLeft w:val="0"/>
                  <w:marRight w:val="0"/>
                  <w:marTop w:val="0"/>
                  <w:marBottom w:val="0"/>
                  <w:divBdr>
                    <w:top w:val="none" w:sz="0" w:space="0" w:color="auto"/>
                    <w:left w:val="none" w:sz="0" w:space="0" w:color="auto"/>
                    <w:bottom w:val="none" w:sz="0" w:space="0" w:color="auto"/>
                    <w:right w:val="none" w:sz="0" w:space="0" w:color="auto"/>
                  </w:divBdr>
                </w:div>
                <w:div w:id="184639728">
                  <w:marLeft w:val="0"/>
                  <w:marRight w:val="0"/>
                  <w:marTop w:val="0"/>
                  <w:marBottom w:val="0"/>
                  <w:divBdr>
                    <w:top w:val="none" w:sz="0" w:space="0" w:color="auto"/>
                    <w:left w:val="none" w:sz="0" w:space="0" w:color="auto"/>
                    <w:bottom w:val="dashed" w:sz="2" w:space="4" w:color="D9D9D9"/>
                    <w:right w:val="none" w:sz="0" w:space="0" w:color="auto"/>
                  </w:divBdr>
                </w:div>
                <w:div w:id="20579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15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BFF9-AA7E-DA47-B466-3B215BBD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2099</Words>
  <Characters>11965</Characters>
  <Application>Microsoft Macintosh Word</Application>
  <DocSecurity>0</DocSecurity>
  <Lines>99</Lines>
  <Paragraphs>28</Paragraphs>
  <ScaleCrop>false</ScaleCrop>
  <Company>justicedipakmisraoffice@gmail.com</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Dipak Misra</dc:creator>
  <cp:keywords/>
  <dc:description/>
  <cp:lastModifiedBy>Justice Dipak Misra</cp:lastModifiedBy>
  <cp:revision>18</cp:revision>
  <dcterms:created xsi:type="dcterms:W3CDTF">2020-03-26T00:00:00Z</dcterms:created>
  <dcterms:modified xsi:type="dcterms:W3CDTF">2020-03-26T23:20:00Z</dcterms:modified>
</cp:coreProperties>
</file>