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B8343" w14:textId="35CAAF5F" w:rsidR="00105503" w:rsidRDefault="00FB49F5" w:rsidP="00690E46">
      <w:pPr>
        <w:spacing w:after="200" w:line="480" w:lineRule="auto"/>
        <w:jc w:val="center"/>
        <w:rPr>
          <w:rFonts w:ascii="Bookman Old Style" w:hAnsi="Bookman Old Style"/>
          <w:b/>
          <w:color w:val="000000"/>
          <w:sz w:val="24"/>
          <w:szCs w:val="24"/>
          <w:u w:val="single"/>
        </w:rPr>
      </w:pPr>
      <w:r>
        <w:rPr>
          <w:rFonts w:ascii="Bookman Old Style" w:hAnsi="Bookman Old Style"/>
          <w:b/>
          <w:color w:val="000000"/>
          <w:sz w:val="24"/>
          <w:szCs w:val="24"/>
          <w:u w:val="single"/>
        </w:rPr>
        <w:t xml:space="preserve">CONTEMPORARY </w:t>
      </w:r>
      <w:r w:rsidRPr="00105503">
        <w:rPr>
          <w:rFonts w:ascii="Bookman Old Style" w:hAnsi="Bookman Old Style"/>
          <w:b/>
          <w:color w:val="000000"/>
          <w:sz w:val="24"/>
          <w:szCs w:val="24"/>
          <w:u w:val="single"/>
        </w:rPr>
        <w:t>LEGAL CHALLENGES FACED BY THE INDIAN TELECOM INDUSTRY</w:t>
      </w:r>
    </w:p>
    <w:p w14:paraId="4CBD9338" w14:textId="14DFAE73" w:rsidR="009D4B9F" w:rsidRPr="00FB49F5" w:rsidRDefault="009D4B9F" w:rsidP="00690E46">
      <w:pPr>
        <w:spacing w:after="200" w:line="480" w:lineRule="auto"/>
        <w:jc w:val="center"/>
        <w:rPr>
          <w:rFonts w:ascii="Bookman Old Style" w:hAnsi="Bookman Old Style"/>
          <w:b/>
          <w:color w:val="000000"/>
          <w:sz w:val="24"/>
          <w:szCs w:val="24"/>
        </w:rPr>
      </w:pPr>
      <w:r w:rsidRPr="00FB49F5">
        <w:rPr>
          <w:rFonts w:ascii="Bookman Old Style" w:hAnsi="Bookman Old Style"/>
          <w:b/>
          <w:color w:val="000000"/>
          <w:sz w:val="24"/>
          <w:szCs w:val="24"/>
        </w:rPr>
        <w:t>In Re: Waivers</w:t>
      </w:r>
      <w:r w:rsidR="004B6F18" w:rsidRPr="00FB49F5">
        <w:rPr>
          <w:rFonts w:ascii="Bookman Old Style" w:hAnsi="Bookman Old Style"/>
          <w:b/>
          <w:color w:val="000000"/>
          <w:sz w:val="24"/>
          <w:szCs w:val="24"/>
        </w:rPr>
        <w:t>/Staggere</w:t>
      </w:r>
      <w:bookmarkStart w:id="0" w:name="_GoBack"/>
      <w:bookmarkEnd w:id="0"/>
      <w:r w:rsidR="004B6F18" w:rsidRPr="00FB49F5">
        <w:rPr>
          <w:rFonts w:ascii="Bookman Old Style" w:hAnsi="Bookman Old Style"/>
          <w:b/>
          <w:color w:val="000000"/>
          <w:sz w:val="24"/>
          <w:szCs w:val="24"/>
        </w:rPr>
        <w:t>d Payment option</w:t>
      </w:r>
      <w:r w:rsidRPr="00FB49F5">
        <w:rPr>
          <w:rFonts w:ascii="Bookman Old Style" w:hAnsi="Bookman Old Style"/>
          <w:b/>
          <w:color w:val="000000"/>
          <w:sz w:val="24"/>
          <w:szCs w:val="24"/>
        </w:rPr>
        <w:t xml:space="preserve"> Sought By Telecom Service Providers</w:t>
      </w:r>
      <w:r w:rsidR="004B6F18" w:rsidRPr="00FB49F5">
        <w:rPr>
          <w:rFonts w:ascii="Bookman Old Style" w:hAnsi="Bookman Old Style"/>
          <w:b/>
          <w:color w:val="000000"/>
          <w:sz w:val="24"/>
          <w:szCs w:val="24"/>
        </w:rPr>
        <w:t xml:space="preserve">, namely, </w:t>
      </w:r>
      <w:proofErr w:type="spellStart"/>
      <w:r w:rsidR="004B6F18" w:rsidRPr="00FB49F5">
        <w:rPr>
          <w:rFonts w:ascii="Bookman Old Style" w:hAnsi="Bookman Old Style"/>
          <w:b/>
          <w:color w:val="000000"/>
          <w:sz w:val="24"/>
          <w:szCs w:val="24"/>
        </w:rPr>
        <w:t>Airtel</w:t>
      </w:r>
      <w:proofErr w:type="spellEnd"/>
      <w:r w:rsidR="004B6F18" w:rsidRPr="00FB49F5">
        <w:rPr>
          <w:rFonts w:ascii="Bookman Old Style" w:hAnsi="Bookman Old Style"/>
          <w:b/>
          <w:color w:val="000000"/>
          <w:sz w:val="24"/>
          <w:szCs w:val="24"/>
        </w:rPr>
        <w:t xml:space="preserve"> and Vodafone-Idea.</w:t>
      </w:r>
    </w:p>
    <w:p w14:paraId="6874AD6E" w14:textId="25A8582B" w:rsidR="00AA3AB7" w:rsidRPr="00D015C4" w:rsidRDefault="00AA3AB7" w:rsidP="00690E46">
      <w:pPr>
        <w:spacing w:after="200" w:line="480" w:lineRule="auto"/>
        <w:jc w:val="both"/>
        <w:rPr>
          <w:rFonts w:ascii="Bookman Old Style" w:hAnsi="Bookman Old Style"/>
          <w:b/>
          <w:color w:val="000000"/>
          <w:sz w:val="24"/>
          <w:szCs w:val="24"/>
          <w:u w:val="single"/>
        </w:rPr>
      </w:pPr>
      <w:bookmarkStart w:id="1" w:name="_Hlk20406911"/>
      <w:bookmarkStart w:id="2" w:name="_Hlk24398828"/>
      <w:r w:rsidRPr="00D015C4">
        <w:rPr>
          <w:rFonts w:ascii="Bookman Old Style" w:hAnsi="Bookman Old Style"/>
          <w:b/>
          <w:color w:val="000000"/>
          <w:sz w:val="24"/>
          <w:szCs w:val="24"/>
          <w:u w:val="single"/>
        </w:rPr>
        <w:t>Prelude:</w:t>
      </w:r>
    </w:p>
    <w:p w14:paraId="257B7E80" w14:textId="3704EAFE" w:rsidR="00AA3AB7" w:rsidRPr="00D015C4" w:rsidRDefault="00AA3AB7" w:rsidP="00690E46">
      <w:pPr>
        <w:spacing w:after="200" w:line="480" w:lineRule="auto"/>
        <w:jc w:val="both"/>
        <w:rPr>
          <w:rFonts w:ascii="Bookman Old Style" w:hAnsi="Bookman Old Style"/>
          <w:color w:val="000000"/>
          <w:sz w:val="24"/>
          <w:szCs w:val="24"/>
        </w:rPr>
      </w:pPr>
      <w:r w:rsidRPr="00D015C4">
        <w:rPr>
          <w:rFonts w:ascii="Bookman Old Style" w:hAnsi="Bookman Old Style"/>
          <w:color w:val="000000"/>
          <w:sz w:val="24"/>
          <w:szCs w:val="24"/>
        </w:rPr>
        <w:tab/>
        <w:t xml:space="preserve">In this Article we would attempt to analyse the present conundrum faced by the Indian Telecom Industry, </w:t>
      </w:r>
      <w:r w:rsidR="00ED601D">
        <w:rPr>
          <w:rFonts w:ascii="Bookman Old Style" w:hAnsi="Bookman Old Style"/>
          <w:color w:val="000000"/>
          <w:sz w:val="24"/>
          <w:szCs w:val="24"/>
        </w:rPr>
        <w:t>wherein</w:t>
      </w:r>
      <w:r w:rsidRPr="00D015C4">
        <w:rPr>
          <w:rFonts w:ascii="Bookman Old Style" w:hAnsi="Bookman Old Style"/>
          <w:color w:val="000000"/>
          <w:sz w:val="24"/>
          <w:szCs w:val="24"/>
        </w:rPr>
        <w:t xml:space="preserve"> stakeholders, include both the Indian ex-chequer as well as the Indian Telecom Service Providers, who happen to be at the receiving end, namely, </w:t>
      </w:r>
      <w:proofErr w:type="spellStart"/>
      <w:r w:rsidRPr="00D015C4">
        <w:rPr>
          <w:rFonts w:ascii="Bookman Old Style" w:hAnsi="Bookman Old Style"/>
          <w:color w:val="000000"/>
          <w:sz w:val="24"/>
          <w:szCs w:val="24"/>
        </w:rPr>
        <w:t>Airtel</w:t>
      </w:r>
      <w:proofErr w:type="spellEnd"/>
      <w:r w:rsidRPr="00D015C4">
        <w:rPr>
          <w:rFonts w:ascii="Bookman Old Style" w:hAnsi="Bookman Old Style"/>
          <w:color w:val="000000"/>
          <w:sz w:val="24"/>
          <w:szCs w:val="24"/>
        </w:rPr>
        <w:t xml:space="preserve"> and Vodafone-Idea, (hereinafter referred to as TSP’s for short).</w:t>
      </w:r>
    </w:p>
    <w:p w14:paraId="4FF107D0" w14:textId="3ED38CF4" w:rsidR="009226DC" w:rsidRPr="00D015C4" w:rsidRDefault="00AA3AB7" w:rsidP="00690E46">
      <w:pPr>
        <w:spacing w:after="200" w:line="480" w:lineRule="auto"/>
        <w:jc w:val="both"/>
        <w:rPr>
          <w:rFonts w:ascii="Bookman Old Style" w:hAnsi="Bookman Old Style"/>
          <w:color w:val="000000"/>
          <w:sz w:val="24"/>
          <w:szCs w:val="24"/>
        </w:rPr>
      </w:pPr>
      <w:r w:rsidRPr="00D015C4">
        <w:rPr>
          <w:rFonts w:ascii="Bookman Old Style" w:hAnsi="Bookman Old Style"/>
          <w:color w:val="000000"/>
          <w:sz w:val="24"/>
          <w:szCs w:val="24"/>
        </w:rPr>
        <w:tab/>
        <w:t xml:space="preserve">As we all are aware of the protracted litigation between the Union of India and the </w:t>
      </w:r>
      <w:r w:rsidR="009226DC" w:rsidRPr="00D015C4">
        <w:rPr>
          <w:rFonts w:ascii="Bookman Old Style" w:hAnsi="Bookman Old Style"/>
          <w:color w:val="000000"/>
          <w:sz w:val="24"/>
          <w:szCs w:val="24"/>
        </w:rPr>
        <w:t>TSPs, which</w:t>
      </w:r>
      <w:r w:rsidR="00310844" w:rsidRPr="00D015C4">
        <w:rPr>
          <w:rFonts w:ascii="Bookman Old Style" w:hAnsi="Bookman Old Style"/>
          <w:color w:val="000000"/>
          <w:sz w:val="24"/>
          <w:szCs w:val="24"/>
        </w:rPr>
        <w:t xml:space="preserve"> had been going on for years</w:t>
      </w:r>
      <w:r w:rsidR="009226DC" w:rsidRPr="00D015C4">
        <w:rPr>
          <w:rFonts w:ascii="Bookman Old Style" w:hAnsi="Bookman Old Style"/>
          <w:color w:val="000000"/>
          <w:sz w:val="24"/>
          <w:szCs w:val="24"/>
        </w:rPr>
        <w:t xml:space="preserve">, earlier before </w:t>
      </w:r>
      <w:r w:rsidR="009226DC" w:rsidRPr="00D015C4">
        <w:rPr>
          <w:rFonts w:ascii="Bookman Old Style" w:eastAsia="Times New Roman" w:hAnsi="Bookman Old Style" w:cs="Times New Roman"/>
          <w:color w:val="000000"/>
          <w:sz w:val="24"/>
          <w:szCs w:val="24"/>
          <w:lang w:val="en-US"/>
        </w:rPr>
        <w:t xml:space="preserve">the </w:t>
      </w:r>
      <w:r w:rsidR="009226DC" w:rsidRPr="00D015C4">
        <w:rPr>
          <w:rFonts w:ascii="Bookman Old Style" w:hAnsi="Bookman Old Style"/>
          <w:sz w:val="24"/>
          <w:szCs w:val="24"/>
        </w:rPr>
        <w:t>Telecom Disputes Settlement and Appellate Tribunal, (hereinafter referred to as TDSAT</w:t>
      </w:r>
      <w:r w:rsidR="00D015C4">
        <w:rPr>
          <w:rFonts w:ascii="Bookman Old Style" w:hAnsi="Bookman Old Style"/>
          <w:sz w:val="24"/>
          <w:szCs w:val="24"/>
        </w:rPr>
        <w:t xml:space="preserve"> or Tribunal</w:t>
      </w:r>
      <w:r w:rsidR="009226DC" w:rsidRPr="00D015C4">
        <w:rPr>
          <w:rFonts w:ascii="Bookman Old Style" w:hAnsi="Bookman Old Style"/>
          <w:sz w:val="24"/>
          <w:szCs w:val="24"/>
        </w:rPr>
        <w:t>)</w:t>
      </w:r>
      <w:r w:rsidR="00310844" w:rsidRPr="00D015C4">
        <w:rPr>
          <w:rFonts w:ascii="Bookman Old Style" w:hAnsi="Bookman Old Style"/>
          <w:color w:val="000000"/>
          <w:sz w:val="24"/>
          <w:szCs w:val="24"/>
        </w:rPr>
        <w:t xml:space="preserve"> </w:t>
      </w:r>
      <w:r w:rsidR="009226DC" w:rsidRPr="00D015C4">
        <w:rPr>
          <w:rFonts w:ascii="Bookman Old Style" w:hAnsi="Bookman Old Style"/>
          <w:i/>
          <w:color w:val="000000"/>
          <w:sz w:val="24"/>
          <w:szCs w:val="24"/>
        </w:rPr>
        <w:t xml:space="preserve">qua </w:t>
      </w:r>
      <w:r w:rsidR="009226DC" w:rsidRPr="00D015C4">
        <w:rPr>
          <w:rFonts w:ascii="Bookman Old Style" w:hAnsi="Bookman Old Style"/>
          <w:color w:val="000000"/>
          <w:sz w:val="24"/>
          <w:szCs w:val="24"/>
        </w:rPr>
        <w:t>the meaning and import of the term ‘</w:t>
      </w:r>
      <w:r w:rsidR="009226DC" w:rsidRPr="00D015C4">
        <w:rPr>
          <w:rFonts w:ascii="Bookman Old Style" w:hAnsi="Bookman Old Style"/>
          <w:iCs/>
          <w:sz w:val="24"/>
          <w:szCs w:val="24"/>
          <w:lang w:val="en-IN"/>
        </w:rPr>
        <w:t xml:space="preserve">Adjusted Gross Revenue’, </w:t>
      </w:r>
      <w:r w:rsidR="00310844" w:rsidRPr="00D015C4">
        <w:rPr>
          <w:rFonts w:ascii="Bookman Old Style" w:hAnsi="Bookman Old Style"/>
          <w:color w:val="000000"/>
          <w:sz w:val="24"/>
          <w:szCs w:val="24"/>
        </w:rPr>
        <w:t xml:space="preserve">and </w:t>
      </w:r>
      <w:r w:rsidR="009226DC" w:rsidRPr="00D015C4">
        <w:rPr>
          <w:rFonts w:ascii="Bookman Old Style" w:hAnsi="Bookman Old Style"/>
          <w:color w:val="000000"/>
          <w:sz w:val="24"/>
          <w:szCs w:val="24"/>
        </w:rPr>
        <w:t xml:space="preserve">then recently, this dispute </w:t>
      </w:r>
      <w:r w:rsidR="00310844" w:rsidRPr="00D015C4">
        <w:rPr>
          <w:rFonts w:ascii="Bookman Old Style" w:hAnsi="Bookman Old Style"/>
          <w:color w:val="000000"/>
          <w:sz w:val="24"/>
          <w:szCs w:val="24"/>
        </w:rPr>
        <w:t>was finally settled by the ultimate arb</w:t>
      </w:r>
      <w:r w:rsidR="009226DC" w:rsidRPr="00D015C4">
        <w:rPr>
          <w:rFonts w:ascii="Bookman Old Style" w:hAnsi="Bookman Old Style"/>
          <w:color w:val="000000"/>
          <w:sz w:val="24"/>
          <w:szCs w:val="24"/>
        </w:rPr>
        <w:t>iter of the Indian Constitution, that is, the Supreme Court of India, when on 24</w:t>
      </w:r>
      <w:r w:rsidR="009226DC" w:rsidRPr="00D015C4">
        <w:rPr>
          <w:rFonts w:ascii="Bookman Old Style" w:hAnsi="Bookman Old Style"/>
          <w:color w:val="000000"/>
          <w:sz w:val="24"/>
          <w:szCs w:val="24"/>
          <w:vertAlign w:val="superscript"/>
        </w:rPr>
        <w:t>th</w:t>
      </w:r>
      <w:r w:rsidR="009226DC" w:rsidRPr="00D015C4">
        <w:rPr>
          <w:rFonts w:ascii="Bookman Old Style" w:hAnsi="Bookman Old Style"/>
          <w:color w:val="000000"/>
          <w:sz w:val="24"/>
          <w:szCs w:val="24"/>
        </w:rPr>
        <w:t xml:space="preserve"> October, 2019</w:t>
      </w:r>
      <w:bookmarkStart w:id="3" w:name="_Hlk23856168"/>
      <w:bookmarkEnd w:id="1"/>
      <w:r w:rsidR="009226DC" w:rsidRPr="00D015C4">
        <w:rPr>
          <w:rFonts w:ascii="Bookman Old Style" w:hAnsi="Bookman Old Style"/>
          <w:color w:val="000000"/>
          <w:sz w:val="24"/>
          <w:szCs w:val="24"/>
        </w:rPr>
        <w:t xml:space="preserve">, the Court ruled in favour of the Indian Ex-chequer. </w:t>
      </w:r>
    </w:p>
    <w:p w14:paraId="2EED6879" w14:textId="5699AD5C" w:rsidR="009226DC" w:rsidRPr="00D015C4" w:rsidRDefault="009226DC" w:rsidP="00690E46">
      <w:pPr>
        <w:spacing w:after="200" w:line="480" w:lineRule="auto"/>
        <w:jc w:val="both"/>
        <w:rPr>
          <w:rFonts w:ascii="Bookman Old Style" w:hAnsi="Bookman Old Style"/>
          <w:color w:val="000000"/>
          <w:sz w:val="24"/>
          <w:szCs w:val="24"/>
        </w:rPr>
      </w:pPr>
      <w:r w:rsidRPr="00D015C4">
        <w:rPr>
          <w:rFonts w:ascii="Bookman Old Style" w:hAnsi="Bookman Old Style"/>
          <w:color w:val="000000"/>
          <w:sz w:val="24"/>
          <w:szCs w:val="24"/>
        </w:rPr>
        <w:tab/>
        <w:t>The readers of this Article will be able to appreciate the entire controversy with a better perspective, when the factual journey of this entire litigious matter would be discussed in detailed. However, at present it is fruitful to pen down the important</w:t>
      </w:r>
      <w:r w:rsidR="00690E46" w:rsidRPr="00D015C4">
        <w:rPr>
          <w:rFonts w:ascii="Bookman Old Style" w:hAnsi="Bookman Old Style"/>
          <w:color w:val="000000"/>
          <w:sz w:val="24"/>
          <w:szCs w:val="24"/>
        </w:rPr>
        <w:t xml:space="preserve"> questions, which this Article will attempt to answer. The said Questions are as follows:</w:t>
      </w:r>
      <w:r w:rsidRPr="00D015C4">
        <w:rPr>
          <w:rFonts w:ascii="Bookman Old Style" w:hAnsi="Bookman Old Style"/>
          <w:color w:val="000000"/>
          <w:sz w:val="24"/>
          <w:szCs w:val="24"/>
        </w:rPr>
        <w:t xml:space="preserve"> </w:t>
      </w:r>
    </w:p>
    <w:p w14:paraId="415ED551" w14:textId="77777777" w:rsidR="00690E46" w:rsidRPr="00D015C4" w:rsidRDefault="009D4B9F" w:rsidP="00690E46">
      <w:pPr>
        <w:pStyle w:val="ListParagraph"/>
        <w:numPr>
          <w:ilvl w:val="0"/>
          <w:numId w:val="14"/>
        </w:numPr>
        <w:spacing w:after="200" w:line="480" w:lineRule="auto"/>
        <w:contextualSpacing w:val="0"/>
        <w:jc w:val="both"/>
        <w:rPr>
          <w:rFonts w:ascii="Bookman Old Style" w:hAnsi="Bookman Old Style"/>
          <w:bCs/>
          <w:color w:val="000000"/>
          <w:sz w:val="24"/>
          <w:szCs w:val="24"/>
        </w:rPr>
      </w:pPr>
      <w:r w:rsidRPr="00D015C4">
        <w:rPr>
          <w:rFonts w:ascii="Bookman Old Style" w:hAnsi="Bookman Old Style"/>
          <w:bCs/>
          <w:color w:val="000000"/>
          <w:sz w:val="24"/>
          <w:szCs w:val="24"/>
        </w:rPr>
        <w:lastRenderedPageBreak/>
        <w:t xml:space="preserve">Whether </w:t>
      </w:r>
      <w:bookmarkEnd w:id="2"/>
      <w:r w:rsidRPr="00D015C4">
        <w:rPr>
          <w:rFonts w:ascii="Bookman Old Style" w:hAnsi="Bookman Old Style"/>
          <w:bCs/>
          <w:color w:val="000000"/>
          <w:sz w:val="24"/>
          <w:szCs w:val="24"/>
        </w:rPr>
        <w:t xml:space="preserve">in the present </w:t>
      </w:r>
      <w:r w:rsidR="00690E46" w:rsidRPr="00D015C4">
        <w:rPr>
          <w:rFonts w:ascii="Bookman Old Style" w:hAnsi="Bookman Old Style"/>
          <w:bCs/>
          <w:color w:val="000000"/>
          <w:sz w:val="24"/>
          <w:szCs w:val="24"/>
        </w:rPr>
        <w:t>scenario</w:t>
      </w:r>
      <w:r w:rsidRPr="00D015C4">
        <w:rPr>
          <w:rFonts w:ascii="Bookman Old Style" w:hAnsi="Bookman Old Style"/>
          <w:bCs/>
          <w:color w:val="000000"/>
          <w:sz w:val="24"/>
          <w:szCs w:val="24"/>
        </w:rPr>
        <w:t xml:space="preserve">, the Central Government can give financial relief by waiving off already raised demands for balance license fee and SUC, interest, penalty thereupon, and interest on penalty by an executive decision/ in its capacity as licensor, against the order of the </w:t>
      </w:r>
      <w:proofErr w:type="spellStart"/>
      <w:r w:rsidRPr="00D015C4">
        <w:rPr>
          <w:rFonts w:ascii="Bookman Old Style" w:hAnsi="Bookman Old Style"/>
          <w:bCs/>
          <w:color w:val="000000"/>
          <w:sz w:val="24"/>
          <w:szCs w:val="24"/>
        </w:rPr>
        <w:t>Hon’ble</w:t>
      </w:r>
      <w:proofErr w:type="spellEnd"/>
      <w:r w:rsidRPr="00D015C4">
        <w:rPr>
          <w:rFonts w:ascii="Bookman Old Style" w:hAnsi="Bookman Old Style"/>
          <w:bCs/>
          <w:color w:val="000000"/>
          <w:sz w:val="24"/>
          <w:szCs w:val="24"/>
        </w:rPr>
        <w:t xml:space="preserve"> Supreme Court of India?</w:t>
      </w:r>
    </w:p>
    <w:p w14:paraId="07A3ABC9" w14:textId="77777777" w:rsidR="00690E46" w:rsidRPr="00D015C4" w:rsidRDefault="009D4B9F" w:rsidP="00690E46">
      <w:pPr>
        <w:pStyle w:val="ListParagraph"/>
        <w:numPr>
          <w:ilvl w:val="0"/>
          <w:numId w:val="14"/>
        </w:numPr>
        <w:spacing w:after="200" w:line="480" w:lineRule="auto"/>
        <w:contextualSpacing w:val="0"/>
        <w:jc w:val="both"/>
        <w:rPr>
          <w:rFonts w:ascii="Bookman Old Style" w:hAnsi="Bookman Old Style"/>
          <w:bCs/>
          <w:color w:val="000000"/>
          <w:sz w:val="24"/>
          <w:szCs w:val="24"/>
        </w:rPr>
      </w:pPr>
      <w:r w:rsidRPr="00D015C4">
        <w:rPr>
          <w:rFonts w:ascii="Bookman Old Style" w:hAnsi="Bookman Old Style"/>
          <w:bCs/>
          <w:color w:val="000000"/>
          <w:sz w:val="24"/>
          <w:szCs w:val="24"/>
        </w:rPr>
        <w:t xml:space="preserve">Whether the Central Government can give more time for making payment than what has been ordered by the </w:t>
      </w:r>
      <w:proofErr w:type="spellStart"/>
      <w:r w:rsidRPr="00D015C4">
        <w:rPr>
          <w:rFonts w:ascii="Bookman Old Style" w:hAnsi="Bookman Old Style"/>
          <w:bCs/>
          <w:color w:val="000000"/>
          <w:sz w:val="24"/>
          <w:szCs w:val="24"/>
        </w:rPr>
        <w:t>Hon’ble</w:t>
      </w:r>
      <w:proofErr w:type="spellEnd"/>
      <w:r w:rsidRPr="00D015C4">
        <w:rPr>
          <w:rFonts w:ascii="Bookman Old Style" w:hAnsi="Bookman Old Style"/>
          <w:bCs/>
          <w:color w:val="000000"/>
          <w:sz w:val="24"/>
          <w:szCs w:val="24"/>
        </w:rPr>
        <w:t xml:space="preserve"> Supreme Court of India vide order dated 24.10.2019 in the present matter?</w:t>
      </w:r>
    </w:p>
    <w:p w14:paraId="327AFD01" w14:textId="2D01E090" w:rsidR="009D4B9F" w:rsidRPr="00D015C4" w:rsidRDefault="009D4B9F" w:rsidP="00690E46">
      <w:pPr>
        <w:pStyle w:val="ListParagraph"/>
        <w:numPr>
          <w:ilvl w:val="0"/>
          <w:numId w:val="14"/>
        </w:numPr>
        <w:spacing w:after="200" w:line="480" w:lineRule="auto"/>
        <w:contextualSpacing w:val="0"/>
        <w:jc w:val="both"/>
        <w:rPr>
          <w:rFonts w:ascii="Bookman Old Style" w:hAnsi="Bookman Old Style"/>
          <w:bCs/>
          <w:color w:val="000000"/>
          <w:sz w:val="24"/>
          <w:szCs w:val="24"/>
        </w:rPr>
      </w:pPr>
      <w:r w:rsidRPr="00D015C4">
        <w:rPr>
          <w:rFonts w:ascii="Bookman Old Style" w:hAnsi="Bookman Old Style"/>
          <w:bCs/>
          <w:color w:val="000000"/>
          <w:sz w:val="24"/>
          <w:szCs w:val="24"/>
        </w:rPr>
        <w:t xml:space="preserve">Whether the Central Government can waive its legitimate dues, which have been upheld by the </w:t>
      </w:r>
      <w:proofErr w:type="spellStart"/>
      <w:r w:rsidRPr="00D015C4">
        <w:rPr>
          <w:rFonts w:ascii="Bookman Old Style" w:hAnsi="Bookman Old Style"/>
          <w:bCs/>
          <w:color w:val="000000"/>
          <w:sz w:val="24"/>
          <w:szCs w:val="24"/>
        </w:rPr>
        <w:t>Hon’ble</w:t>
      </w:r>
      <w:proofErr w:type="spellEnd"/>
      <w:r w:rsidRPr="00D015C4">
        <w:rPr>
          <w:rFonts w:ascii="Bookman Old Style" w:hAnsi="Bookman Old Style"/>
          <w:bCs/>
          <w:color w:val="000000"/>
          <w:sz w:val="24"/>
          <w:szCs w:val="24"/>
        </w:rPr>
        <w:t xml:space="preserve"> Supreme Court of India and has to be paid by a private entity under a contractual agreement, such as a license agreement?</w:t>
      </w:r>
    </w:p>
    <w:p w14:paraId="3348E2FC" w14:textId="6A3D714C" w:rsidR="009D4B9F" w:rsidRPr="00D015C4" w:rsidRDefault="00690E46" w:rsidP="00690E46">
      <w:pPr>
        <w:spacing w:after="200" w:line="480" w:lineRule="auto"/>
        <w:jc w:val="both"/>
        <w:rPr>
          <w:rFonts w:ascii="Bookman Old Style" w:hAnsi="Bookman Old Style"/>
          <w:bCs/>
          <w:color w:val="000000"/>
          <w:sz w:val="24"/>
          <w:szCs w:val="24"/>
        </w:rPr>
      </w:pPr>
      <w:r w:rsidRPr="00D015C4">
        <w:rPr>
          <w:rFonts w:ascii="Bookman Old Style" w:hAnsi="Bookman Old Style"/>
          <w:b/>
          <w:color w:val="000000"/>
          <w:sz w:val="24"/>
          <w:szCs w:val="24"/>
          <w:u w:val="single"/>
        </w:rPr>
        <w:t>Detailed Facts:</w:t>
      </w:r>
    </w:p>
    <w:bookmarkEnd w:id="3"/>
    <w:p w14:paraId="7C917AB3" w14:textId="2A7B9A17" w:rsidR="009D4B9F" w:rsidRPr="003640F8" w:rsidRDefault="009D4B9F" w:rsidP="003640F8">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The Central Government, pursuant to the power granted under Section 4 of the Telegraph Act, 1885 (for brevity, ‘the Act’), granted licenses to the </w:t>
      </w:r>
      <w:r w:rsidR="008B27E3" w:rsidRPr="00D015C4">
        <w:rPr>
          <w:rFonts w:ascii="Bookman Old Style" w:hAnsi="Bookman Old Style"/>
          <w:sz w:val="24"/>
          <w:szCs w:val="24"/>
        </w:rPr>
        <w:t>TSPs</w:t>
      </w:r>
      <w:r w:rsidRPr="00D015C4">
        <w:rPr>
          <w:rFonts w:ascii="Bookman Old Style" w:hAnsi="Bookman Old Style"/>
          <w:sz w:val="24"/>
          <w:szCs w:val="24"/>
        </w:rPr>
        <w:t>, by which the licensee</w:t>
      </w:r>
      <w:r w:rsidR="000B54DC" w:rsidRPr="00D015C4">
        <w:rPr>
          <w:rFonts w:ascii="Bookman Old Style" w:hAnsi="Bookman Old Style"/>
          <w:sz w:val="24"/>
          <w:szCs w:val="24"/>
        </w:rPr>
        <w:t>s</w:t>
      </w:r>
      <w:r w:rsidRPr="00D015C4">
        <w:rPr>
          <w:rFonts w:ascii="Bookman Old Style" w:hAnsi="Bookman Old Style"/>
          <w:sz w:val="24"/>
          <w:szCs w:val="24"/>
        </w:rPr>
        <w:t xml:space="preserve">, </w:t>
      </w:r>
      <w:r w:rsidR="002237D0" w:rsidRPr="00D015C4">
        <w:rPr>
          <w:rFonts w:ascii="Bookman Old Style" w:hAnsi="Bookman Old Style"/>
          <w:sz w:val="24"/>
          <w:szCs w:val="24"/>
        </w:rPr>
        <w:t>that is</w:t>
      </w:r>
      <w:r w:rsidRPr="00D015C4">
        <w:rPr>
          <w:rFonts w:ascii="Bookman Old Style" w:hAnsi="Bookman Old Style"/>
          <w:sz w:val="24"/>
          <w:szCs w:val="24"/>
        </w:rPr>
        <w:t>, the TSP</w:t>
      </w:r>
      <w:r w:rsidR="000B54DC" w:rsidRPr="00D015C4">
        <w:rPr>
          <w:rFonts w:ascii="Bookman Old Style" w:hAnsi="Bookman Old Style"/>
          <w:sz w:val="24"/>
          <w:szCs w:val="24"/>
        </w:rPr>
        <w:t>s</w:t>
      </w:r>
      <w:r w:rsidRPr="00D015C4">
        <w:rPr>
          <w:rFonts w:ascii="Bookman Old Style" w:hAnsi="Bookman Old Style"/>
          <w:sz w:val="24"/>
          <w:szCs w:val="24"/>
        </w:rPr>
        <w:t xml:space="preserve"> </w:t>
      </w:r>
      <w:r w:rsidR="002237D0" w:rsidRPr="00D015C4">
        <w:rPr>
          <w:rFonts w:ascii="Bookman Old Style" w:hAnsi="Bookman Old Style"/>
          <w:sz w:val="24"/>
          <w:szCs w:val="24"/>
        </w:rPr>
        <w:t>were</w:t>
      </w:r>
      <w:r w:rsidRPr="00D015C4">
        <w:rPr>
          <w:rFonts w:ascii="Bookman Old Style" w:hAnsi="Bookman Old Style"/>
          <w:sz w:val="24"/>
          <w:szCs w:val="24"/>
        </w:rPr>
        <w:t xml:space="preserve"> required to pay a license fee on the basis of Adjusted Gross Revenue (</w:t>
      </w:r>
      <w:r w:rsidR="00443B5A" w:rsidRPr="00D015C4">
        <w:rPr>
          <w:rFonts w:ascii="Bookman Old Style" w:hAnsi="Bookman Old Style"/>
          <w:sz w:val="24"/>
          <w:szCs w:val="24"/>
        </w:rPr>
        <w:t>hereinafter referred as ‘</w:t>
      </w:r>
      <w:r w:rsidRPr="00D015C4">
        <w:rPr>
          <w:rFonts w:ascii="Bookman Old Style" w:hAnsi="Bookman Old Style"/>
          <w:sz w:val="24"/>
          <w:szCs w:val="24"/>
        </w:rPr>
        <w:t>AGR</w:t>
      </w:r>
      <w:r w:rsidR="00443B5A" w:rsidRPr="00D015C4">
        <w:rPr>
          <w:rFonts w:ascii="Bookman Old Style" w:hAnsi="Bookman Old Style"/>
          <w:sz w:val="24"/>
          <w:szCs w:val="24"/>
        </w:rPr>
        <w:t>’</w:t>
      </w:r>
      <w:r w:rsidRPr="00D015C4">
        <w:rPr>
          <w:rFonts w:ascii="Bookman Old Style" w:hAnsi="Bookman Old Style"/>
          <w:sz w:val="24"/>
          <w:szCs w:val="24"/>
        </w:rPr>
        <w:t xml:space="preserve">), which was clearly defined in the </w:t>
      </w:r>
      <w:r w:rsidR="008B27E3" w:rsidRPr="00D015C4">
        <w:rPr>
          <w:rFonts w:ascii="Bookman Old Style" w:hAnsi="Bookman Old Style"/>
          <w:sz w:val="24"/>
          <w:szCs w:val="24"/>
        </w:rPr>
        <w:t xml:space="preserve">definition of </w:t>
      </w:r>
      <w:r w:rsidRPr="00D015C4">
        <w:rPr>
          <w:rFonts w:ascii="Bookman Old Style" w:hAnsi="Bookman Old Style"/>
          <w:sz w:val="24"/>
          <w:szCs w:val="24"/>
        </w:rPr>
        <w:t>license</w:t>
      </w:r>
      <w:r w:rsidR="008B27E3" w:rsidRPr="00D015C4">
        <w:rPr>
          <w:rFonts w:ascii="Bookman Old Style" w:hAnsi="Bookman Old Style"/>
          <w:sz w:val="24"/>
          <w:szCs w:val="24"/>
        </w:rPr>
        <w:t xml:space="preserve"> contained in Section 4 of the Act</w:t>
      </w:r>
      <w:r w:rsidRPr="00D015C4">
        <w:rPr>
          <w:rFonts w:ascii="Bookman Old Style" w:hAnsi="Bookman Old Style"/>
          <w:sz w:val="24"/>
          <w:szCs w:val="24"/>
        </w:rPr>
        <w:t xml:space="preserve">. </w:t>
      </w:r>
      <w:r w:rsidRPr="003640F8">
        <w:rPr>
          <w:rFonts w:ascii="Bookman Old Style" w:hAnsi="Bookman Old Style"/>
          <w:sz w:val="24"/>
          <w:szCs w:val="24"/>
        </w:rPr>
        <w:t>AGR is defined in the license as follows:</w:t>
      </w:r>
    </w:p>
    <w:p w14:paraId="741D296C"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lang w:val="en-IN"/>
        </w:rPr>
        <w:t>“</w:t>
      </w:r>
      <w:r w:rsidRPr="00D015C4">
        <w:rPr>
          <w:rFonts w:ascii="Bookman Old Style" w:hAnsi="Bookman Old Style"/>
          <w:iCs/>
          <w:sz w:val="24"/>
          <w:szCs w:val="24"/>
          <w:u w:val="single"/>
          <w:lang w:val="en-IN"/>
        </w:rPr>
        <w:t xml:space="preserve">19. Definition of ‘Adjusted Gross Revenue’: </w:t>
      </w:r>
    </w:p>
    <w:p w14:paraId="1DCB12F1"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 xml:space="preserve">19.1 Gross Revenue: </w:t>
      </w:r>
    </w:p>
    <w:p w14:paraId="12A26106"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 xml:space="preserve">The Gross Revenue shall be inclusive of installation charges, late fees, sale proceeds of handsets (or any other terminal equipment etc.), revenue on account of interest, dividend, value-added services, supplementary services, access or </w:t>
      </w:r>
      <w:r w:rsidRPr="00D015C4">
        <w:rPr>
          <w:rFonts w:ascii="Bookman Old Style" w:hAnsi="Bookman Old Style"/>
          <w:iCs/>
          <w:sz w:val="24"/>
          <w:szCs w:val="24"/>
          <w:u w:val="single"/>
          <w:lang w:val="en-IN"/>
        </w:rPr>
        <w:lastRenderedPageBreak/>
        <w:t>interconnection charges, roaming charges, revenue from permissible sharing of infrastructure and any other miscellaneous revenue, without any set­off for related item of expense, etc. 19.2 For the purpose of arriving at the “Adjusted Gross Revenue (AGR)”, the following shall be excluded from the Gross Revenue to arrive at the AGR:</w:t>
      </w:r>
    </w:p>
    <w:p w14:paraId="7A70E2DE"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PSTN/PLMN related call charges (Access Charges) actually paid to other eligible/entitled telecommunication service providers within India;</w:t>
      </w:r>
    </w:p>
    <w:p w14:paraId="57BC479F"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 xml:space="preserve">Roaming revenues actually passed on to other eligible/entitled telecommunication service providers and; </w:t>
      </w:r>
    </w:p>
    <w:p w14:paraId="6D148B08"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 xml:space="preserve">Service Tax on provision of service and Sales Tax actually paid to the Government if gross revenue had included as component of Sales Tax and Service Tax. </w:t>
      </w:r>
    </w:p>
    <w:p w14:paraId="48269DCE"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lang w:val="en-IN"/>
        </w:rPr>
      </w:pPr>
      <w:r w:rsidRPr="00D015C4">
        <w:rPr>
          <w:rFonts w:ascii="Bookman Old Style" w:hAnsi="Bookman Old Style"/>
          <w:iCs/>
          <w:sz w:val="24"/>
          <w:szCs w:val="24"/>
          <w:u w:val="single"/>
          <w:lang w:val="en-IN"/>
        </w:rPr>
        <w:t>19.3 Applicable AGR in respect of Spectrum usage charge shall be as given under Part VII of this agreement.</w:t>
      </w:r>
      <w:r w:rsidRPr="00D015C4">
        <w:rPr>
          <w:rFonts w:ascii="Bookman Old Style" w:hAnsi="Bookman Old Style"/>
          <w:iCs/>
          <w:sz w:val="24"/>
          <w:szCs w:val="24"/>
          <w:lang w:val="en-IN"/>
        </w:rPr>
        <w:t>”</w:t>
      </w:r>
    </w:p>
    <w:p w14:paraId="34754CEF" w14:textId="13153309" w:rsidR="00F16858" w:rsidRPr="00D015C4" w:rsidRDefault="00F16858" w:rsidP="00F16858">
      <w:pPr>
        <w:pStyle w:val="ListParagraph"/>
        <w:spacing w:after="200" w:line="240" w:lineRule="auto"/>
        <w:ind w:left="851" w:right="851"/>
        <w:contextualSpacing w:val="0"/>
        <w:jc w:val="right"/>
        <w:rPr>
          <w:rFonts w:ascii="Bookman Old Style" w:hAnsi="Bookman Old Style"/>
          <w:iCs/>
          <w:sz w:val="24"/>
          <w:szCs w:val="24"/>
          <w:lang w:val="en-IN"/>
        </w:rPr>
      </w:pPr>
      <w:r w:rsidRPr="00D015C4">
        <w:rPr>
          <w:rFonts w:ascii="Bookman Old Style" w:hAnsi="Bookman Old Style"/>
          <w:iCs/>
          <w:sz w:val="24"/>
          <w:szCs w:val="24"/>
          <w:lang w:val="en-IN"/>
        </w:rPr>
        <w:t>[Underlining is Ours]</w:t>
      </w:r>
    </w:p>
    <w:p w14:paraId="0C80B0E5" w14:textId="77777777" w:rsidR="009D4B9F" w:rsidRPr="00D015C4" w:rsidRDefault="009D4B9F" w:rsidP="00690E46">
      <w:pPr>
        <w:pStyle w:val="ListParagraph"/>
        <w:spacing w:after="200" w:line="240" w:lineRule="auto"/>
        <w:ind w:left="851" w:right="851"/>
        <w:contextualSpacing w:val="0"/>
        <w:jc w:val="both"/>
        <w:rPr>
          <w:rFonts w:ascii="Bookman Old Style" w:hAnsi="Bookman Old Style"/>
          <w:iCs/>
          <w:sz w:val="24"/>
          <w:szCs w:val="24"/>
          <w:lang w:val="en-IN"/>
        </w:rPr>
      </w:pPr>
    </w:p>
    <w:p w14:paraId="34BDEB97" w14:textId="09666662" w:rsidR="00A2582A" w:rsidRPr="00D015C4" w:rsidRDefault="00B5269D"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eastAsia="Times New Roman" w:hAnsi="Bookman Old Style" w:cs="Times New Roman"/>
          <w:color w:val="000000"/>
          <w:sz w:val="24"/>
          <w:szCs w:val="24"/>
          <w:lang w:val="en-US"/>
        </w:rPr>
        <w:t>As the fact</w:t>
      </w:r>
      <w:r w:rsidR="002237D0" w:rsidRPr="00D015C4">
        <w:rPr>
          <w:rFonts w:ascii="Bookman Old Style" w:eastAsia="Times New Roman" w:hAnsi="Bookman Old Style" w:cs="Times New Roman"/>
          <w:color w:val="000000"/>
          <w:sz w:val="24"/>
          <w:szCs w:val="24"/>
          <w:lang w:val="en-US"/>
        </w:rPr>
        <w:t>s</w:t>
      </w:r>
      <w:r w:rsidRPr="00D015C4">
        <w:rPr>
          <w:rFonts w:ascii="Bookman Old Style" w:eastAsia="Times New Roman" w:hAnsi="Bookman Old Style" w:cs="Times New Roman"/>
          <w:color w:val="000000"/>
          <w:sz w:val="24"/>
          <w:szCs w:val="24"/>
          <w:lang w:val="en-US"/>
        </w:rPr>
        <w:t xml:space="preserve"> depict</w:t>
      </w:r>
      <w:r w:rsidR="002237D0" w:rsidRPr="00D015C4">
        <w:rPr>
          <w:rFonts w:ascii="Bookman Old Style" w:eastAsia="Times New Roman" w:hAnsi="Bookman Old Style" w:cs="Times New Roman"/>
          <w:color w:val="000000"/>
          <w:sz w:val="24"/>
          <w:szCs w:val="24"/>
          <w:lang w:val="en-US"/>
        </w:rPr>
        <w:t>,</w:t>
      </w:r>
      <w:r w:rsidRPr="00D015C4">
        <w:rPr>
          <w:rFonts w:ascii="Bookman Old Style" w:eastAsia="Times New Roman" w:hAnsi="Bookman Old Style" w:cs="Times New Roman"/>
          <w:color w:val="000000"/>
          <w:sz w:val="24"/>
          <w:szCs w:val="24"/>
          <w:lang w:val="en-US"/>
        </w:rPr>
        <w:t xml:space="preserve"> </w:t>
      </w:r>
      <w:r w:rsidR="002237D0" w:rsidRPr="00D015C4">
        <w:rPr>
          <w:rFonts w:ascii="Bookman Old Style" w:eastAsia="Times New Roman" w:hAnsi="Bookman Old Style" w:cs="Times New Roman"/>
          <w:color w:val="000000"/>
          <w:sz w:val="24"/>
          <w:szCs w:val="24"/>
          <w:lang w:val="en-US"/>
        </w:rPr>
        <w:t>i</w:t>
      </w:r>
      <w:r w:rsidRPr="00D015C4">
        <w:rPr>
          <w:rFonts w:ascii="Bookman Old Style" w:eastAsia="Times New Roman" w:hAnsi="Bookman Old Style" w:cs="Times New Roman"/>
          <w:color w:val="000000"/>
          <w:sz w:val="24"/>
          <w:szCs w:val="24"/>
          <w:lang w:val="en-US"/>
        </w:rPr>
        <w:t xml:space="preserve">n the year 2003, some of the licensees questioned the validity of the definition of AGR in the </w:t>
      </w:r>
      <w:r w:rsidR="00A2582A" w:rsidRPr="00D015C4">
        <w:rPr>
          <w:rFonts w:ascii="Bookman Old Style" w:eastAsia="Times New Roman" w:hAnsi="Bookman Old Style" w:cs="Times New Roman"/>
          <w:color w:val="000000"/>
          <w:sz w:val="24"/>
          <w:szCs w:val="24"/>
          <w:lang w:val="en-US"/>
        </w:rPr>
        <w:t>license</w:t>
      </w:r>
      <w:r w:rsidRPr="00D015C4">
        <w:rPr>
          <w:rFonts w:ascii="Bookman Old Style" w:eastAsia="Times New Roman" w:hAnsi="Bookman Old Style" w:cs="Times New Roman"/>
          <w:color w:val="000000"/>
          <w:sz w:val="24"/>
          <w:szCs w:val="24"/>
          <w:lang w:val="en-US"/>
        </w:rPr>
        <w:t xml:space="preserve"> agreement before the </w:t>
      </w:r>
      <w:r w:rsidR="00DD3199" w:rsidRPr="00D015C4">
        <w:rPr>
          <w:rFonts w:ascii="Bookman Old Style" w:hAnsi="Bookman Old Style"/>
          <w:sz w:val="24"/>
          <w:szCs w:val="24"/>
        </w:rPr>
        <w:t>TDSAT</w:t>
      </w:r>
      <w:r w:rsidR="00A2582A" w:rsidRPr="00D015C4">
        <w:rPr>
          <w:rFonts w:ascii="Bookman Old Style" w:hAnsi="Bookman Old Style"/>
          <w:sz w:val="24"/>
          <w:szCs w:val="24"/>
        </w:rPr>
        <w:t>.</w:t>
      </w:r>
      <w:r w:rsidRPr="00D015C4">
        <w:rPr>
          <w:rFonts w:ascii="Bookman Old Style" w:eastAsia="Times New Roman" w:hAnsi="Bookman Old Style" w:cs="Times New Roman"/>
          <w:color w:val="000000"/>
          <w:sz w:val="24"/>
          <w:szCs w:val="24"/>
          <w:lang w:val="en-US"/>
        </w:rPr>
        <w:t xml:space="preserve"> One of their contention was that the said definition can only relate to the revenue directly arising out of telecom operations licensed under Section 4 of ‘the Act’, after adjustment of expenses and write-offs and </w:t>
      </w:r>
      <w:r w:rsidR="00744EED" w:rsidRPr="00D015C4">
        <w:rPr>
          <w:rFonts w:ascii="Bookman Old Style" w:eastAsia="Times New Roman" w:hAnsi="Bookman Old Style" w:cs="Times New Roman"/>
          <w:color w:val="000000"/>
          <w:sz w:val="24"/>
          <w:szCs w:val="24"/>
          <w:lang w:val="en-US"/>
        </w:rPr>
        <w:t xml:space="preserve">the definition of AGR cannot relate to </w:t>
      </w:r>
      <w:r w:rsidRPr="00D015C4">
        <w:rPr>
          <w:rFonts w:ascii="Bookman Old Style" w:eastAsia="Times New Roman" w:hAnsi="Bookman Old Style" w:cs="Times New Roman"/>
          <w:color w:val="000000"/>
          <w:sz w:val="24"/>
          <w:szCs w:val="24"/>
          <w:lang w:val="en-US"/>
        </w:rPr>
        <w:t xml:space="preserve">revenues </w:t>
      </w:r>
      <w:r w:rsidR="00744EED" w:rsidRPr="00D015C4">
        <w:rPr>
          <w:rFonts w:ascii="Bookman Old Style" w:eastAsia="Times New Roman" w:hAnsi="Bookman Old Style" w:cs="Times New Roman"/>
          <w:color w:val="000000"/>
          <w:sz w:val="24"/>
          <w:szCs w:val="24"/>
          <w:lang w:val="en-US"/>
        </w:rPr>
        <w:t xml:space="preserve">not </w:t>
      </w:r>
      <w:r w:rsidRPr="00D015C4">
        <w:rPr>
          <w:rFonts w:ascii="Bookman Old Style" w:eastAsia="Times New Roman" w:hAnsi="Bookman Old Style" w:cs="Times New Roman"/>
          <w:color w:val="000000"/>
          <w:sz w:val="24"/>
          <w:szCs w:val="24"/>
          <w:lang w:val="en-US"/>
        </w:rPr>
        <w:t xml:space="preserve">directly attributable to the licensed telecom activities. Further the licensees also contended that miscellaneous and other items including interest income and dividend income, value of rebates, discounts, free calls and reimbursement from USO fund, etc. should not be included in the AGR for the purpose of computation of </w:t>
      </w:r>
      <w:r w:rsidR="00A2582A" w:rsidRPr="00D015C4">
        <w:rPr>
          <w:rFonts w:ascii="Bookman Old Style" w:eastAsia="Times New Roman" w:hAnsi="Bookman Old Style" w:cs="Times New Roman"/>
          <w:color w:val="000000"/>
          <w:sz w:val="24"/>
          <w:szCs w:val="24"/>
          <w:lang w:val="en-US"/>
        </w:rPr>
        <w:t>licensee</w:t>
      </w:r>
      <w:r w:rsidRPr="00D015C4">
        <w:rPr>
          <w:rFonts w:ascii="Bookman Old Style" w:eastAsia="Times New Roman" w:hAnsi="Bookman Old Style" w:cs="Times New Roman"/>
          <w:color w:val="000000"/>
          <w:sz w:val="24"/>
          <w:szCs w:val="24"/>
          <w:lang w:val="en-US"/>
        </w:rPr>
        <w:t xml:space="preserve"> fee. </w:t>
      </w:r>
    </w:p>
    <w:p w14:paraId="6534C0B6" w14:textId="51518120" w:rsidR="009D4B9F" w:rsidRPr="00D015C4" w:rsidRDefault="00B5269D"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eastAsia="Times New Roman" w:hAnsi="Bookman Old Style" w:cs="Times New Roman"/>
          <w:color w:val="000000"/>
          <w:sz w:val="24"/>
          <w:szCs w:val="24"/>
          <w:lang w:val="en-US"/>
        </w:rPr>
        <w:t xml:space="preserve">Per contra the contention of the Central Government was that the licensees having unconditionally accepted the migration package and </w:t>
      </w:r>
      <w:r w:rsidRPr="00D015C4">
        <w:rPr>
          <w:rFonts w:ascii="Bookman Old Style" w:eastAsia="Times New Roman" w:hAnsi="Bookman Old Style" w:cs="Times New Roman"/>
          <w:color w:val="000000"/>
          <w:sz w:val="24"/>
          <w:szCs w:val="24"/>
          <w:lang w:val="en-US"/>
        </w:rPr>
        <w:lastRenderedPageBreak/>
        <w:t xml:space="preserve">having taken the benefit of the same </w:t>
      </w:r>
      <w:r w:rsidR="00744EED" w:rsidRPr="00D015C4">
        <w:rPr>
          <w:rFonts w:ascii="Bookman Old Style" w:eastAsia="Times New Roman" w:hAnsi="Bookman Old Style" w:cs="Times New Roman"/>
          <w:color w:val="000000"/>
          <w:sz w:val="24"/>
          <w:szCs w:val="24"/>
          <w:lang w:val="en-US"/>
        </w:rPr>
        <w:t>were</w:t>
      </w:r>
      <w:r w:rsidRPr="00D015C4">
        <w:rPr>
          <w:rFonts w:ascii="Bookman Old Style" w:eastAsia="Times New Roman" w:hAnsi="Bookman Old Style" w:cs="Times New Roman"/>
          <w:color w:val="000000"/>
          <w:sz w:val="24"/>
          <w:szCs w:val="24"/>
          <w:lang w:val="en-US"/>
        </w:rPr>
        <w:t xml:space="preserve"> bound by the terms and conditions of the </w:t>
      </w:r>
      <w:r w:rsidR="00A2582A" w:rsidRPr="00D015C4">
        <w:rPr>
          <w:rFonts w:ascii="Bookman Old Style" w:eastAsia="Times New Roman" w:hAnsi="Bookman Old Style" w:cs="Times New Roman"/>
          <w:color w:val="000000"/>
          <w:sz w:val="24"/>
          <w:szCs w:val="24"/>
          <w:lang w:val="en-US"/>
        </w:rPr>
        <w:t>licensee</w:t>
      </w:r>
      <w:r w:rsidRPr="00D015C4">
        <w:rPr>
          <w:rFonts w:ascii="Bookman Old Style" w:eastAsia="Times New Roman" w:hAnsi="Bookman Old Style" w:cs="Times New Roman"/>
          <w:color w:val="000000"/>
          <w:sz w:val="24"/>
          <w:szCs w:val="24"/>
          <w:lang w:val="en-US"/>
        </w:rPr>
        <w:t xml:space="preserve"> agreement and</w:t>
      </w:r>
      <w:r w:rsidR="00744EED" w:rsidRPr="00D015C4">
        <w:rPr>
          <w:rFonts w:ascii="Bookman Old Style" w:eastAsia="Times New Roman" w:hAnsi="Bookman Old Style" w:cs="Times New Roman"/>
          <w:color w:val="000000"/>
          <w:sz w:val="24"/>
          <w:szCs w:val="24"/>
          <w:lang w:val="en-US"/>
        </w:rPr>
        <w:t xml:space="preserve"> thus,</w:t>
      </w:r>
      <w:r w:rsidRPr="00D015C4">
        <w:rPr>
          <w:rFonts w:ascii="Bookman Old Style" w:eastAsia="Times New Roman" w:hAnsi="Bookman Old Style" w:cs="Times New Roman"/>
          <w:color w:val="000000"/>
          <w:sz w:val="24"/>
          <w:szCs w:val="24"/>
          <w:lang w:val="en-US"/>
        </w:rPr>
        <w:t xml:space="preserve"> cannot be permitted to </w:t>
      </w:r>
      <w:r w:rsidR="00D015C4" w:rsidRPr="00D015C4">
        <w:rPr>
          <w:rFonts w:ascii="Bookman Old Style" w:eastAsia="Times New Roman" w:hAnsi="Bookman Old Style" w:cs="Times New Roman"/>
          <w:color w:val="000000"/>
          <w:sz w:val="24"/>
          <w:szCs w:val="24"/>
          <w:lang w:val="en-US"/>
        </w:rPr>
        <w:t>assail</w:t>
      </w:r>
      <w:r w:rsidRPr="00D015C4">
        <w:rPr>
          <w:rFonts w:ascii="Bookman Old Style" w:eastAsia="Times New Roman" w:hAnsi="Bookman Old Style" w:cs="Times New Roman"/>
          <w:color w:val="000000"/>
          <w:sz w:val="24"/>
          <w:szCs w:val="24"/>
          <w:lang w:val="en-US"/>
        </w:rPr>
        <w:t xml:space="preserve"> the same</w:t>
      </w:r>
      <w:r w:rsidR="009D4B9F" w:rsidRPr="00D015C4">
        <w:rPr>
          <w:rFonts w:ascii="Bookman Old Style" w:hAnsi="Bookman Old Style"/>
          <w:sz w:val="24"/>
          <w:szCs w:val="24"/>
        </w:rPr>
        <w:t>.</w:t>
      </w:r>
    </w:p>
    <w:p w14:paraId="7A0E532D" w14:textId="591E94CD" w:rsidR="009D4B9F" w:rsidRPr="00D015C4" w:rsidRDefault="002A0CC4"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TDSAT, </w:t>
      </w:r>
      <w:r w:rsidRPr="00D015C4">
        <w:rPr>
          <w:rFonts w:ascii="Bookman Old Style" w:hAnsi="Bookman Old Style"/>
          <w:i/>
          <w:iCs/>
          <w:sz w:val="24"/>
          <w:szCs w:val="24"/>
        </w:rPr>
        <w:t>vide</w:t>
      </w:r>
      <w:r w:rsidRPr="00D015C4">
        <w:rPr>
          <w:rFonts w:ascii="Bookman Old Style" w:hAnsi="Bookman Old Style"/>
          <w:sz w:val="24"/>
          <w:szCs w:val="24"/>
        </w:rPr>
        <w:t xml:space="preserve"> order </w:t>
      </w:r>
      <w:r w:rsidR="00217945" w:rsidRPr="00D015C4">
        <w:rPr>
          <w:rFonts w:ascii="Bookman Old Style" w:hAnsi="Bookman Old Style"/>
          <w:sz w:val="24"/>
          <w:szCs w:val="24"/>
        </w:rPr>
        <w:t>0</w:t>
      </w:r>
      <w:r w:rsidR="009D4B9F" w:rsidRPr="00D015C4">
        <w:rPr>
          <w:rFonts w:ascii="Bookman Old Style" w:hAnsi="Bookman Old Style"/>
          <w:sz w:val="24"/>
          <w:szCs w:val="24"/>
        </w:rPr>
        <w:t>7</w:t>
      </w:r>
      <w:r w:rsidR="00217945" w:rsidRPr="00D015C4">
        <w:rPr>
          <w:rFonts w:ascii="Bookman Old Style" w:hAnsi="Bookman Old Style"/>
          <w:sz w:val="24"/>
          <w:szCs w:val="24"/>
        </w:rPr>
        <w:t>.0</w:t>
      </w:r>
      <w:r w:rsidR="009D4B9F" w:rsidRPr="00D015C4">
        <w:rPr>
          <w:rFonts w:ascii="Bookman Old Style" w:hAnsi="Bookman Old Style"/>
          <w:sz w:val="24"/>
          <w:szCs w:val="24"/>
        </w:rPr>
        <w:t>7</w:t>
      </w:r>
      <w:r w:rsidR="00217945" w:rsidRPr="00D015C4">
        <w:rPr>
          <w:rFonts w:ascii="Bookman Old Style" w:hAnsi="Bookman Old Style"/>
          <w:sz w:val="24"/>
          <w:szCs w:val="24"/>
        </w:rPr>
        <w:t>.</w:t>
      </w:r>
      <w:r w:rsidR="009D4B9F" w:rsidRPr="00D015C4">
        <w:rPr>
          <w:rFonts w:ascii="Bookman Old Style" w:hAnsi="Bookman Old Style"/>
          <w:sz w:val="24"/>
          <w:szCs w:val="24"/>
        </w:rPr>
        <w:t>2006,</w:t>
      </w:r>
      <w:r w:rsidR="00916AB4" w:rsidRPr="00D015C4">
        <w:rPr>
          <w:rFonts w:ascii="Bookman Old Style" w:hAnsi="Bookman Old Style"/>
          <w:sz w:val="24"/>
          <w:szCs w:val="24"/>
        </w:rPr>
        <w:t xml:space="preserve"> astonishingly </w:t>
      </w:r>
      <w:r w:rsidR="009D4B9F" w:rsidRPr="00D015C4">
        <w:rPr>
          <w:rFonts w:ascii="Bookman Old Style" w:hAnsi="Bookman Old Style"/>
          <w:sz w:val="24"/>
          <w:szCs w:val="24"/>
        </w:rPr>
        <w:t xml:space="preserve">rejected the contentions of the </w:t>
      </w:r>
      <w:r w:rsidR="00282B44" w:rsidRPr="00D015C4">
        <w:rPr>
          <w:rFonts w:ascii="Bookman Old Style" w:hAnsi="Bookman Old Style"/>
          <w:sz w:val="24"/>
          <w:szCs w:val="24"/>
        </w:rPr>
        <w:t xml:space="preserve">Central Government </w:t>
      </w:r>
      <w:r w:rsidR="009D4B9F" w:rsidRPr="00D015C4">
        <w:rPr>
          <w:rFonts w:ascii="Bookman Old Style" w:hAnsi="Bookman Old Style"/>
          <w:sz w:val="24"/>
          <w:szCs w:val="24"/>
        </w:rPr>
        <w:t>and</w:t>
      </w:r>
      <w:r w:rsidR="00916AB4" w:rsidRPr="00D015C4">
        <w:rPr>
          <w:rFonts w:ascii="Bookman Old Style" w:hAnsi="Bookman Old Style"/>
          <w:sz w:val="24"/>
          <w:szCs w:val="24"/>
        </w:rPr>
        <w:t xml:space="preserve"> ruled in favour of TSPs and reasoned </w:t>
      </w:r>
      <w:r w:rsidR="009D4B9F" w:rsidRPr="00D015C4">
        <w:rPr>
          <w:rFonts w:ascii="Bookman Old Style" w:hAnsi="Bookman Old Style"/>
          <w:sz w:val="24"/>
          <w:szCs w:val="24"/>
        </w:rPr>
        <w:t>that under Section 4 of the Act</w:t>
      </w:r>
      <w:r w:rsidR="00916AB4" w:rsidRPr="00D015C4">
        <w:rPr>
          <w:rFonts w:ascii="Bookman Old Style" w:hAnsi="Bookman Old Style"/>
          <w:sz w:val="24"/>
          <w:szCs w:val="24"/>
        </w:rPr>
        <w:t>,</w:t>
      </w:r>
      <w:r w:rsidRPr="00D015C4">
        <w:rPr>
          <w:rFonts w:ascii="Bookman Old Style" w:hAnsi="Bookman Old Style"/>
          <w:sz w:val="24"/>
          <w:szCs w:val="24"/>
        </w:rPr>
        <w:t xml:space="preserve"> </w:t>
      </w:r>
      <w:r w:rsidR="009D4B9F" w:rsidRPr="00D015C4">
        <w:rPr>
          <w:rFonts w:ascii="Bookman Old Style" w:hAnsi="Bookman Old Style"/>
          <w:sz w:val="24"/>
          <w:szCs w:val="24"/>
        </w:rPr>
        <w:t xml:space="preserve">the Central Government can take percentage of the share of gross revenue of a licensee realised from activities of the licensee under the licence and therefore revenue received by a licensee from activities beyond the licensed activities would be outside the purview of Section 4 of the Act. </w:t>
      </w:r>
      <w:r w:rsidRPr="00D015C4">
        <w:rPr>
          <w:rFonts w:ascii="Bookman Old Style" w:hAnsi="Bookman Old Style"/>
          <w:sz w:val="24"/>
          <w:szCs w:val="24"/>
        </w:rPr>
        <w:t xml:space="preserve">It was </w:t>
      </w:r>
      <w:r w:rsidR="009D4B9F" w:rsidRPr="00D015C4">
        <w:rPr>
          <w:rFonts w:ascii="Bookman Old Style" w:hAnsi="Bookman Old Style"/>
          <w:sz w:val="24"/>
          <w:szCs w:val="24"/>
        </w:rPr>
        <w:t>further held</w:t>
      </w:r>
      <w:r w:rsidRPr="00D015C4">
        <w:rPr>
          <w:rFonts w:ascii="Bookman Old Style" w:hAnsi="Bookman Old Style"/>
          <w:sz w:val="24"/>
          <w:szCs w:val="24"/>
        </w:rPr>
        <w:t xml:space="preserve"> by the T</w:t>
      </w:r>
      <w:r w:rsidR="00DB5602" w:rsidRPr="00D015C4">
        <w:rPr>
          <w:rFonts w:ascii="Bookman Old Style" w:hAnsi="Bookman Old Style"/>
          <w:sz w:val="24"/>
          <w:szCs w:val="24"/>
        </w:rPr>
        <w:t>r</w:t>
      </w:r>
      <w:r w:rsidRPr="00D015C4">
        <w:rPr>
          <w:rFonts w:ascii="Bookman Old Style" w:hAnsi="Bookman Old Style"/>
          <w:sz w:val="24"/>
          <w:szCs w:val="24"/>
        </w:rPr>
        <w:t>ibunal</w:t>
      </w:r>
      <w:r w:rsidR="009D4B9F" w:rsidRPr="00D015C4">
        <w:rPr>
          <w:rFonts w:ascii="Bookman Old Style" w:hAnsi="Bookman Old Style"/>
          <w:sz w:val="24"/>
          <w:szCs w:val="24"/>
        </w:rPr>
        <w:t xml:space="preserve"> that Section 11(1)(a) of the TRAI Act mandates the Central Government to seek recommendations from the Telecom Regulatory Authority of India (for </w:t>
      </w:r>
      <w:r w:rsidRPr="00D015C4">
        <w:rPr>
          <w:rFonts w:ascii="Bookman Old Style" w:hAnsi="Bookman Old Style"/>
          <w:sz w:val="24"/>
          <w:szCs w:val="24"/>
        </w:rPr>
        <w:t>brevity</w:t>
      </w:r>
      <w:r w:rsidR="009D4B9F" w:rsidRPr="00D015C4">
        <w:rPr>
          <w:rFonts w:ascii="Bookman Old Style" w:hAnsi="Bookman Old Style"/>
          <w:sz w:val="24"/>
          <w:szCs w:val="24"/>
        </w:rPr>
        <w:t xml:space="preserve"> “TRAI”) on the licence fee payable by the licensee</w:t>
      </w:r>
      <w:r w:rsidR="00BA24B4" w:rsidRPr="00D015C4">
        <w:rPr>
          <w:rFonts w:ascii="Bookman Old Style" w:hAnsi="Bookman Old Style"/>
          <w:sz w:val="24"/>
          <w:szCs w:val="24"/>
        </w:rPr>
        <w:t>s, that is the TSPs</w:t>
      </w:r>
      <w:r w:rsidR="009D4B9F" w:rsidRPr="00D015C4">
        <w:rPr>
          <w:rFonts w:ascii="Bookman Old Style" w:hAnsi="Bookman Old Style"/>
          <w:sz w:val="24"/>
          <w:szCs w:val="24"/>
        </w:rPr>
        <w:t xml:space="preserve"> and as </w:t>
      </w:r>
      <w:r w:rsidR="00217945" w:rsidRPr="00D015C4">
        <w:rPr>
          <w:rFonts w:ascii="Bookman Old Style" w:hAnsi="Bookman Old Style"/>
          <w:sz w:val="24"/>
          <w:szCs w:val="24"/>
        </w:rPr>
        <w:t xml:space="preserve">there had been </w:t>
      </w:r>
      <w:r w:rsidR="009D4B9F" w:rsidRPr="00D015C4">
        <w:rPr>
          <w:rFonts w:ascii="Bookman Old Style" w:hAnsi="Bookman Old Style"/>
          <w:sz w:val="24"/>
          <w:szCs w:val="24"/>
        </w:rPr>
        <w:t>no effective constitution</w:t>
      </w:r>
      <w:r w:rsidR="00013A79" w:rsidRPr="00D015C4">
        <w:rPr>
          <w:rFonts w:ascii="Bookman Old Style" w:hAnsi="Bookman Old Style"/>
          <w:sz w:val="24"/>
          <w:szCs w:val="24"/>
        </w:rPr>
        <w:t xml:space="preserve"> </w:t>
      </w:r>
      <w:r w:rsidR="009D4B9F" w:rsidRPr="00D015C4">
        <w:rPr>
          <w:rFonts w:ascii="Bookman Old Style" w:hAnsi="Bookman Old Style"/>
          <w:sz w:val="24"/>
          <w:szCs w:val="24"/>
        </w:rPr>
        <w:t xml:space="preserve">made by TRAI, the matter should be remanded to TRAI </w:t>
      </w:r>
      <w:r w:rsidR="00013A79" w:rsidRPr="00D015C4">
        <w:rPr>
          <w:rFonts w:ascii="Bookman Old Style" w:hAnsi="Bookman Old Style"/>
          <w:sz w:val="24"/>
          <w:szCs w:val="24"/>
        </w:rPr>
        <w:t>so that</w:t>
      </w:r>
      <w:r w:rsidR="009D4B9F" w:rsidRPr="00D015C4">
        <w:rPr>
          <w:rFonts w:ascii="Bookman Old Style" w:hAnsi="Bookman Old Style"/>
          <w:sz w:val="24"/>
          <w:szCs w:val="24"/>
        </w:rPr>
        <w:t xml:space="preserve"> TRAI can consider the matter and send its recommendations to the Tribunal. The Tribunal however made it clear that TRAI will bear in mind the findings of the Tribunal that revenue of the licensee</w:t>
      </w:r>
      <w:r w:rsidR="00013A79" w:rsidRPr="00D015C4">
        <w:rPr>
          <w:rFonts w:ascii="Bookman Old Style" w:hAnsi="Bookman Old Style"/>
          <w:sz w:val="24"/>
          <w:szCs w:val="24"/>
        </w:rPr>
        <w:t>s</w:t>
      </w:r>
      <w:r w:rsidR="009D4B9F" w:rsidRPr="00D015C4">
        <w:rPr>
          <w:rFonts w:ascii="Bookman Old Style" w:hAnsi="Bookman Old Style"/>
          <w:sz w:val="24"/>
          <w:szCs w:val="24"/>
        </w:rPr>
        <w:t xml:space="preserve"> derived from non-licensed activities will not be included in the </w:t>
      </w:r>
      <w:r w:rsidR="003454F5" w:rsidRPr="00D015C4">
        <w:rPr>
          <w:rFonts w:ascii="Bookman Old Style" w:hAnsi="Bookman Old Style"/>
          <w:sz w:val="24"/>
          <w:szCs w:val="24"/>
        </w:rPr>
        <w:t>AG</w:t>
      </w:r>
      <w:r w:rsidR="00B42876" w:rsidRPr="00D015C4">
        <w:rPr>
          <w:rFonts w:ascii="Bookman Old Style" w:hAnsi="Bookman Old Style"/>
          <w:sz w:val="24"/>
          <w:szCs w:val="24"/>
        </w:rPr>
        <w:t>R</w:t>
      </w:r>
      <w:r w:rsidR="009D4B9F" w:rsidRPr="00D015C4">
        <w:rPr>
          <w:rFonts w:ascii="Bookman Old Style" w:hAnsi="Bookman Old Style"/>
          <w:sz w:val="24"/>
          <w:szCs w:val="24"/>
        </w:rPr>
        <w:t xml:space="preserve"> for the purpose of determining the licence fee payable by the </w:t>
      </w:r>
      <w:proofErr w:type="spellStart"/>
      <w:r w:rsidR="003454F5" w:rsidRPr="00D015C4">
        <w:rPr>
          <w:rFonts w:ascii="Bookman Old Style" w:hAnsi="Bookman Old Style"/>
          <w:sz w:val="24"/>
          <w:szCs w:val="24"/>
        </w:rPr>
        <w:t>TSPs.</w:t>
      </w:r>
      <w:proofErr w:type="spellEnd"/>
    </w:p>
    <w:p w14:paraId="22C425B0" w14:textId="7319343B" w:rsidR="009D4B9F" w:rsidRPr="00D015C4" w:rsidRDefault="00D742C8"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Aggrieved by the aforesaid order of the TDSAT, the Central Government went in appeal </w:t>
      </w:r>
      <w:r w:rsidR="009D4B9F" w:rsidRPr="00D015C4">
        <w:rPr>
          <w:rFonts w:ascii="Bookman Old Style" w:hAnsi="Bookman Old Style"/>
          <w:sz w:val="24"/>
          <w:szCs w:val="24"/>
        </w:rPr>
        <w:t>before th</w:t>
      </w:r>
      <w:r w:rsidR="00660954" w:rsidRPr="00D015C4">
        <w:rPr>
          <w:rFonts w:ascii="Bookman Old Style" w:hAnsi="Bookman Old Style"/>
          <w:sz w:val="24"/>
          <w:szCs w:val="24"/>
        </w:rPr>
        <w:t>e</w:t>
      </w:r>
      <w:r w:rsidR="00971B03" w:rsidRPr="00D015C4">
        <w:rPr>
          <w:rFonts w:ascii="Bookman Old Style" w:hAnsi="Bookman Old Style"/>
          <w:sz w:val="24"/>
          <w:szCs w:val="24"/>
        </w:rPr>
        <w:t xml:space="preserve"> Supreme</w:t>
      </w:r>
      <w:r w:rsidR="009D4B9F" w:rsidRPr="00D015C4">
        <w:rPr>
          <w:rFonts w:ascii="Bookman Old Style" w:hAnsi="Bookman Old Style"/>
          <w:sz w:val="24"/>
          <w:szCs w:val="24"/>
        </w:rPr>
        <w:t xml:space="preserve"> Court</w:t>
      </w:r>
      <w:r w:rsidR="00FA30A6" w:rsidRPr="00D015C4">
        <w:rPr>
          <w:rFonts w:ascii="Bookman Old Style" w:eastAsia="Times New Roman" w:hAnsi="Bookman Old Style" w:cs="Times New Roman"/>
          <w:color w:val="000000"/>
          <w:sz w:val="24"/>
          <w:szCs w:val="24"/>
          <w:lang w:val="en-US"/>
        </w:rPr>
        <w:t>.</w:t>
      </w:r>
      <w:r w:rsidR="009D4B9F" w:rsidRPr="00D015C4">
        <w:rPr>
          <w:rFonts w:ascii="Bookman Old Style" w:hAnsi="Bookman Old Style"/>
          <w:sz w:val="24"/>
          <w:szCs w:val="24"/>
        </w:rPr>
        <w:t xml:space="preserve"> While th</w:t>
      </w:r>
      <w:r w:rsidR="00971B03" w:rsidRPr="00D015C4">
        <w:rPr>
          <w:rFonts w:ascii="Bookman Old Style" w:hAnsi="Bookman Old Style"/>
          <w:sz w:val="24"/>
          <w:szCs w:val="24"/>
        </w:rPr>
        <w:t>e</w:t>
      </w:r>
      <w:r w:rsidR="009D4B9F" w:rsidRPr="00D015C4">
        <w:rPr>
          <w:rFonts w:ascii="Bookman Old Style" w:hAnsi="Bookman Old Style"/>
          <w:sz w:val="24"/>
          <w:szCs w:val="24"/>
        </w:rPr>
        <w:t xml:space="preserve"> appeal was pending before th</w:t>
      </w:r>
      <w:r w:rsidR="00971B03" w:rsidRPr="00D015C4">
        <w:rPr>
          <w:rFonts w:ascii="Bookman Old Style" w:hAnsi="Bookman Old Style"/>
          <w:sz w:val="24"/>
          <w:szCs w:val="24"/>
        </w:rPr>
        <w:t>e</w:t>
      </w:r>
      <w:r w:rsidRPr="00D015C4">
        <w:rPr>
          <w:rFonts w:ascii="Bookman Old Style" w:hAnsi="Bookman Old Style"/>
          <w:sz w:val="24"/>
          <w:szCs w:val="24"/>
        </w:rPr>
        <w:t xml:space="preserve"> Apex</w:t>
      </w:r>
      <w:r w:rsidR="009D4B9F" w:rsidRPr="00D015C4">
        <w:rPr>
          <w:rFonts w:ascii="Bookman Old Style" w:hAnsi="Bookman Old Style"/>
          <w:sz w:val="24"/>
          <w:szCs w:val="24"/>
        </w:rPr>
        <w:t xml:space="preserve"> Court, TRAI</w:t>
      </w:r>
      <w:r w:rsidRPr="00D015C4">
        <w:rPr>
          <w:rFonts w:ascii="Bookman Old Style" w:hAnsi="Bookman Old Style"/>
          <w:sz w:val="24"/>
          <w:szCs w:val="24"/>
        </w:rPr>
        <w:t xml:space="preserve"> had</w:t>
      </w:r>
      <w:r w:rsidR="009D4B9F" w:rsidRPr="00D015C4">
        <w:rPr>
          <w:rFonts w:ascii="Bookman Old Style" w:hAnsi="Bookman Old Style"/>
          <w:sz w:val="24"/>
          <w:szCs w:val="24"/>
        </w:rPr>
        <w:t xml:space="preserve"> sent its recommendations on the incorporation of the </w:t>
      </w:r>
      <w:r w:rsidR="00660954" w:rsidRPr="00D015C4">
        <w:rPr>
          <w:rFonts w:ascii="Bookman Old Style" w:hAnsi="Bookman Old Style"/>
          <w:sz w:val="24"/>
          <w:szCs w:val="24"/>
        </w:rPr>
        <w:t>A</w:t>
      </w:r>
      <w:r w:rsidRPr="00D015C4">
        <w:rPr>
          <w:rFonts w:ascii="Bookman Old Style" w:hAnsi="Bookman Old Style"/>
          <w:sz w:val="24"/>
          <w:szCs w:val="24"/>
        </w:rPr>
        <w:t>G</w:t>
      </w:r>
      <w:r w:rsidR="00660954" w:rsidRPr="00D015C4">
        <w:rPr>
          <w:rFonts w:ascii="Bookman Old Style" w:hAnsi="Bookman Old Style"/>
          <w:sz w:val="24"/>
          <w:szCs w:val="24"/>
        </w:rPr>
        <w:t xml:space="preserve">R </w:t>
      </w:r>
      <w:r w:rsidR="009D4B9F" w:rsidRPr="00D015C4">
        <w:rPr>
          <w:rFonts w:ascii="Bookman Old Style" w:hAnsi="Bookman Old Style"/>
          <w:sz w:val="24"/>
          <w:szCs w:val="24"/>
        </w:rPr>
        <w:t xml:space="preserve">which had been sought by the Tribunal by its </w:t>
      </w:r>
      <w:r w:rsidR="009D4B9F" w:rsidRPr="00D015C4">
        <w:rPr>
          <w:rFonts w:ascii="Bookman Old Style" w:hAnsi="Bookman Old Style"/>
          <w:sz w:val="24"/>
          <w:szCs w:val="24"/>
        </w:rPr>
        <w:lastRenderedPageBreak/>
        <w:t xml:space="preserve">order dated </w:t>
      </w:r>
      <w:r w:rsidR="00660954" w:rsidRPr="00D015C4">
        <w:rPr>
          <w:rFonts w:ascii="Bookman Old Style" w:hAnsi="Bookman Old Style"/>
          <w:sz w:val="24"/>
          <w:szCs w:val="24"/>
        </w:rPr>
        <w:t>0</w:t>
      </w:r>
      <w:r w:rsidR="009D4B9F" w:rsidRPr="00D015C4">
        <w:rPr>
          <w:rFonts w:ascii="Bookman Old Style" w:hAnsi="Bookman Old Style"/>
          <w:sz w:val="24"/>
          <w:szCs w:val="24"/>
        </w:rPr>
        <w:t>7</w:t>
      </w:r>
      <w:r w:rsidR="00660954" w:rsidRPr="00D015C4">
        <w:rPr>
          <w:rFonts w:ascii="Bookman Old Style" w:hAnsi="Bookman Old Style"/>
          <w:sz w:val="24"/>
          <w:szCs w:val="24"/>
        </w:rPr>
        <w:t>.0</w:t>
      </w:r>
      <w:r w:rsidR="009D4B9F" w:rsidRPr="00D015C4">
        <w:rPr>
          <w:rFonts w:ascii="Bookman Old Style" w:hAnsi="Bookman Old Style"/>
          <w:sz w:val="24"/>
          <w:szCs w:val="24"/>
        </w:rPr>
        <w:t>7</w:t>
      </w:r>
      <w:r w:rsidR="00660954" w:rsidRPr="00D015C4">
        <w:rPr>
          <w:rFonts w:ascii="Bookman Old Style" w:hAnsi="Bookman Old Style"/>
          <w:sz w:val="24"/>
          <w:szCs w:val="24"/>
        </w:rPr>
        <w:t>.</w:t>
      </w:r>
      <w:r w:rsidR="009D4B9F" w:rsidRPr="00D015C4">
        <w:rPr>
          <w:rFonts w:ascii="Bookman Old Style" w:hAnsi="Bookman Old Style"/>
          <w:sz w:val="24"/>
          <w:szCs w:val="24"/>
        </w:rPr>
        <w:t xml:space="preserve">2006. </w:t>
      </w:r>
      <w:r w:rsidR="00FA30A6" w:rsidRPr="00D015C4">
        <w:rPr>
          <w:rFonts w:ascii="Bookman Old Style" w:hAnsi="Bookman Old Style"/>
          <w:sz w:val="24"/>
          <w:szCs w:val="24"/>
        </w:rPr>
        <w:t xml:space="preserve">On 19.01.2007, </w:t>
      </w:r>
      <w:r w:rsidR="009D4B9F" w:rsidRPr="00D015C4">
        <w:rPr>
          <w:rFonts w:ascii="Bookman Old Style" w:hAnsi="Bookman Old Style"/>
          <w:sz w:val="24"/>
          <w:szCs w:val="24"/>
        </w:rPr>
        <w:t xml:space="preserve">when </w:t>
      </w:r>
      <w:r w:rsidRPr="00D015C4">
        <w:rPr>
          <w:rFonts w:ascii="Bookman Old Style" w:hAnsi="Bookman Old Style"/>
          <w:sz w:val="24"/>
          <w:szCs w:val="24"/>
        </w:rPr>
        <w:t>the said</w:t>
      </w:r>
      <w:r w:rsidR="00F9328E" w:rsidRPr="00D015C4">
        <w:rPr>
          <w:rFonts w:ascii="Bookman Old Style" w:hAnsi="Bookman Old Style"/>
          <w:sz w:val="24"/>
          <w:szCs w:val="24"/>
        </w:rPr>
        <w:t xml:space="preserve"> Central Government’s</w:t>
      </w:r>
      <w:r w:rsidR="00403E43" w:rsidRPr="00D015C4">
        <w:rPr>
          <w:rFonts w:ascii="Bookman Old Style" w:hAnsi="Bookman Old Style"/>
          <w:sz w:val="24"/>
          <w:szCs w:val="24"/>
        </w:rPr>
        <w:t xml:space="preserve"> </w:t>
      </w:r>
      <w:r w:rsidR="00A3356A" w:rsidRPr="00D015C4">
        <w:rPr>
          <w:rFonts w:ascii="Bookman Old Style" w:hAnsi="Bookman Old Style"/>
          <w:sz w:val="24"/>
          <w:szCs w:val="24"/>
        </w:rPr>
        <w:t>appeal</w:t>
      </w:r>
      <w:r w:rsidRPr="00D015C4">
        <w:rPr>
          <w:rFonts w:ascii="Bookman Old Style" w:hAnsi="Bookman Old Style"/>
          <w:sz w:val="24"/>
          <w:szCs w:val="24"/>
        </w:rPr>
        <w:t xml:space="preserve"> was heard by the Apex court</w:t>
      </w:r>
      <w:r w:rsidR="009D4B9F" w:rsidRPr="00D015C4">
        <w:rPr>
          <w:rFonts w:ascii="Bookman Old Style" w:hAnsi="Bookman Old Style"/>
          <w:sz w:val="24"/>
          <w:szCs w:val="24"/>
        </w:rPr>
        <w:t>, th</w:t>
      </w:r>
      <w:r w:rsidR="00FA30A6" w:rsidRPr="00D015C4">
        <w:rPr>
          <w:rFonts w:ascii="Bookman Old Style" w:hAnsi="Bookman Old Style"/>
          <w:sz w:val="24"/>
          <w:szCs w:val="24"/>
        </w:rPr>
        <w:t>e</w:t>
      </w:r>
      <w:r w:rsidR="009D4B9F" w:rsidRPr="00D015C4">
        <w:rPr>
          <w:rFonts w:ascii="Bookman Old Style" w:hAnsi="Bookman Old Style"/>
          <w:sz w:val="24"/>
          <w:szCs w:val="24"/>
        </w:rPr>
        <w:t xml:space="preserve"> Court </w:t>
      </w:r>
      <w:r w:rsidRPr="00D015C4">
        <w:rPr>
          <w:rFonts w:ascii="Bookman Old Style" w:hAnsi="Bookman Old Style"/>
          <w:sz w:val="24"/>
          <w:szCs w:val="24"/>
        </w:rPr>
        <w:t xml:space="preserve">opined </w:t>
      </w:r>
      <w:r w:rsidR="009D4B9F" w:rsidRPr="00D015C4">
        <w:rPr>
          <w:rFonts w:ascii="Bookman Old Style" w:hAnsi="Bookman Old Style"/>
          <w:sz w:val="24"/>
          <w:szCs w:val="24"/>
        </w:rPr>
        <w:t xml:space="preserve">that </w:t>
      </w:r>
      <w:r w:rsidRPr="00D015C4">
        <w:rPr>
          <w:rFonts w:ascii="Bookman Old Style" w:hAnsi="Bookman Old Style"/>
          <w:sz w:val="24"/>
          <w:szCs w:val="24"/>
        </w:rPr>
        <w:t>“</w:t>
      </w:r>
      <w:r w:rsidR="009D4B9F" w:rsidRPr="00D015C4">
        <w:rPr>
          <w:rFonts w:ascii="Bookman Old Style" w:hAnsi="Bookman Old Style"/>
          <w:sz w:val="24"/>
          <w:szCs w:val="24"/>
        </w:rPr>
        <w:t>as TRAI had already submitted its recommendations to the Tribunal</w:t>
      </w:r>
      <w:r w:rsidR="00403E43" w:rsidRPr="00D015C4">
        <w:rPr>
          <w:rFonts w:ascii="Bookman Old Style" w:hAnsi="Bookman Old Style"/>
          <w:sz w:val="24"/>
          <w:szCs w:val="24"/>
        </w:rPr>
        <w:t>,</w:t>
      </w:r>
      <w:r w:rsidR="00FA30A6" w:rsidRPr="00D015C4">
        <w:rPr>
          <w:rFonts w:ascii="Bookman Old Style" w:hAnsi="Bookman Old Style"/>
          <w:sz w:val="24"/>
          <w:szCs w:val="24"/>
        </w:rPr>
        <w:t xml:space="preserve"> so </w:t>
      </w:r>
      <w:r w:rsidR="009D4B9F" w:rsidRPr="00D015C4">
        <w:rPr>
          <w:rFonts w:ascii="Bookman Old Style" w:hAnsi="Bookman Old Style"/>
          <w:sz w:val="24"/>
          <w:szCs w:val="24"/>
        </w:rPr>
        <w:t>there was no reason to interfere and dismissed the appeal</w:t>
      </w:r>
      <w:r w:rsidR="00FA30A6" w:rsidRPr="00D015C4">
        <w:rPr>
          <w:rFonts w:ascii="Bookman Old Style" w:hAnsi="Bookman Old Style"/>
          <w:sz w:val="24"/>
          <w:szCs w:val="24"/>
        </w:rPr>
        <w:t xml:space="preserve"> by</w:t>
      </w:r>
      <w:r w:rsidR="009D4B9F" w:rsidRPr="00D015C4">
        <w:rPr>
          <w:rFonts w:ascii="Bookman Old Style" w:hAnsi="Bookman Old Style"/>
          <w:sz w:val="24"/>
          <w:szCs w:val="24"/>
        </w:rPr>
        <w:t xml:space="preserve"> giving liberty to the </w:t>
      </w:r>
      <w:r w:rsidR="00DD274D" w:rsidRPr="00D015C4">
        <w:rPr>
          <w:rFonts w:ascii="Bookman Old Style" w:hAnsi="Bookman Old Style"/>
          <w:sz w:val="24"/>
          <w:szCs w:val="24"/>
        </w:rPr>
        <w:t xml:space="preserve">Central Government </w:t>
      </w:r>
      <w:r w:rsidR="009D4B9F" w:rsidRPr="00D015C4">
        <w:rPr>
          <w:rFonts w:ascii="Bookman Old Style" w:hAnsi="Bookman Old Style"/>
          <w:sz w:val="24"/>
          <w:szCs w:val="24"/>
        </w:rPr>
        <w:t>to urge all the contentions raised in the civil appeal before the Tribunal</w:t>
      </w:r>
      <w:r w:rsidRPr="00D015C4">
        <w:rPr>
          <w:rFonts w:ascii="Bookman Old Style" w:hAnsi="Bookman Old Style"/>
          <w:sz w:val="24"/>
          <w:szCs w:val="24"/>
        </w:rPr>
        <w:t>”.</w:t>
      </w:r>
    </w:p>
    <w:p w14:paraId="6CFED9E9" w14:textId="56C9B813" w:rsidR="00542240" w:rsidRPr="00D015C4" w:rsidRDefault="009D4B9F"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 </w:t>
      </w:r>
      <w:r w:rsidR="00D742C8" w:rsidRPr="00D015C4">
        <w:rPr>
          <w:rFonts w:ascii="Bookman Old Style" w:hAnsi="Bookman Old Style"/>
          <w:sz w:val="24"/>
          <w:szCs w:val="24"/>
        </w:rPr>
        <w:t>Thereafter, w</w:t>
      </w:r>
      <w:r w:rsidRPr="00D015C4">
        <w:rPr>
          <w:rFonts w:ascii="Bookman Old Style" w:hAnsi="Bookman Old Style"/>
          <w:sz w:val="24"/>
          <w:szCs w:val="24"/>
        </w:rPr>
        <w:t>he</w:t>
      </w:r>
      <w:r w:rsidR="00D742C8" w:rsidRPr="00D015C4">
        <w:rPr>
          <w:rFonts w:ascii="Bookman Old Style" w:hAnsi="Bookman Old Style"/>
          <w:sz w:val="24"/>
          <w:szCs w:val="24"/>
        </w:rPr>
        <w:t>n</w:t>
      </w:r>
      <w:r w:rsidRPr="00D015C4">
        <w:rPr>
          <w:rFonts w:ascii="Bookman Old Style" w:hAnsi="Bookman Old Style"/>
          <w:sz w:val="24"/>
          <w:szCs w:val="24"/>
        </w:rPr>
        <w:t xml:space="preserve"> the Tribunal heard </w:t>
      </w:r>
      <w:r w:rsidR="00DB7446" w:rsidRPr="00D015C4">
        <w:rPr>
          <w:rFonts w:ascii="Bookman Old Style" w:hAnsi="Bookman Old Style"/>
          <w:sz w:val="24"/>
          <w:szCs w:val="24"/>
        </w:rPr>
        <w:t>both the Central Government and the TSPs</w:t>
      </w:r>
      <w:r w:rsidRPr="00D015C4">
        <w:rPr>
          <w:rFonts w:ascii="Bookman Old Style" w:hAnsi="Bookman Old Style"/>
          <w:sz w:val="24"/>
          <w:szCs w:val="24"/>
        </w:rPr>
        <w:t xml:space="preserve"> on the recommendations of TRAI, </w:t>
      </w:r>
      <w:r w:rsidR="00D742C8" w:rsidRPr="00D015C4">
        <w:rPr>
          <w:rFonts w:ascii="Bookman Old Style" w:hAnsi="Bookman Old Style"/>
          <w:sz w:val="24"/>
          <w:szCs w:val="24"/>
        </w:rPr>
        <w:t xml:space="preserve">it was contended on the behalf of </w:t>
      </w:r>
      <w:r w:rsidRPr="00D015C4">
        <w:rPr>
          <w:rFonts w:ascii="Bookman Old Style" w:hAnsi="Bookman Old Style"/>
          <w:sz w:val="24"/>
          <w:szCs w:val="24"/>
        </w:rPr>
        <w:t xml:space="preserve">the </w:t>
      </w:r>
      <w:r w:rsidR="00DD274D" w:rsidRPr="00D015C4">
        <w:rPr>
          <w:rFonts w:ascii="Bookman Old Style" w:hAnsi="Bookman Old Style"/>
          <w:sz w:val="24"/>
          <w:szCs w:val="24"/>
        </w:rPr>
        <w:t>Central Government</w:t>
      </w:r>
      <w:r w:rsidR="00D742C8" w:rsidRPr="00D015C4">
        <w:rPr>
          <w:rFonts w:ascii="Bookman Old Style" w:hAnsi="Bookman Old Style"/>
          <w:sz w:val="24"/>
          <w:szCs w:val="24"/>
        </w:rPr>
        <w:t xml:space="preserve"> that since the Supreme Court </w:t>
      </w:r>
      <w:r w:rsidRPr="00D015C4">
        <w:rPr>
          <w:rFonts w:ascii="Bookman Old Style" w:hAnsi="Bookman Old Style"/>
          <w:sz w:val="24"/>
          <w:szCs w:val="24"/>
        </w:rPr>
        <w:t xml:space="preserve">had given </w:t>
      </w:r>
      <w:r w:rsidR="00D742C8" w:rsidRPr="00D015C4">
        <w:rPr>
          <w:rFonts w:ascii="Bookman Old Style" w:hAnsi="Bookman Old Style"/>
          <w:sz w:val="24"/>
          <w:szCs w:val="24"/>
        </w:rPr>
        <w:t xml:space="preserve">the </w:t>
      </w:r>
      <w:r w:rsidRPr="00D015C4">
        <w:rPr>
          <w:rFonts w:ascii="Bookman Old Style" w:hAnsi="Bookman Old Style"/>
          <w:sz w:val="24"/>
          <w:szCs w:val="24"/>
        </w:rPr>
        <w:t>liberty to urge all the contentions before the Tribunal</w:t>
      </w:r>
      <w:r w:rsidR="00B5269D" w:rsidRPr="00D015C4">
        <w:rPr>
          <w:rFonts w:ascii="Bookman Old Style" w:hAnsi="Bookman Old Style"/>
          <w:sz w:val="24"/>
          <w:szCs w:val="24"/>
        </w:rPr>
        <w:t xml:space="preserve"> a</w:t>
      </w:r>
      <w:r w:rsidR="00D742C8" w:rsidRPr="00D015C4">
        <w:rPr>
          <w:rFonts w:ascii="Bookman Old Style" w:hAnsi="Bookman Old Style"/>
          <w:sz w:val="24"/>
          <w:szCs w:val="24"/>
        </w:rPr>
        <w:t xml:space="preserve">ccordingly, </w:t>
      </w:r>
      <w:r w:rsidRPr="00D015C4">
        <w:rPr>
          <w:rFonts w:ascii="Bookman Old Style" w:hAnsi="Bookman Old Style"/>
          <w:sz w:val="24"/>
          <w:szCs w:val="24"/>
        </w:rPr>
        <w:t xml:space="preserve">the </w:t>
      </w:r>
      <w:r w:rsidR="00DD274D" w:rsidRPr="00D015C4">
        <w:rPr>
          <w:rFonts w:ascii="Bookman Old Style" w:hAnsi="Bookman Old Style"/>
          <w:sz w:val="24"/>
          <w:szCs w:val="24"/>
        </w:rPr>
        <w:t xml:space="preserve">Central Government </w:t>
      </w:r>
      <w:r w:rsidRPr="00D015C4">
        <w:rPr>
          <w:rFonts w:ascii="Bookman Old Style" w:hAnsi="Bookman Old Style"/>
          <w:sz w:val="24"/>
          <w:szCs w:val="24"/>
        </w:rPr>
        <w:t xml:space="preserve">was entitled to </w:t>
      </w:r>
      <w:r w:rsidR="00D742C8" w:rsidRPr="00D015C4">
        <w:rPr>
          <w:rFonts w:ascii="Bookman Old Style" w:hAnsi="Bookman Old Style"/>
          <w:sz w:val="24"/>
          <w:szCs w:val="24"/>
        </w:rPr>
        <w:t>re</w:t>
      </w:r>
      <w:r w:rsidR="000C56D4">
        <w:rPr>
          <w:rFonts w:ascii="Bookman Old Style" w:hAnsi="Bookman Old Style"/>
          <w:sz w:val="24"/>
          <w:szCs w:val="24"/>
        </w:rPr>
        <w:t>-</w:t>
      </w:r>
      <w:r w:rsidR="00D742C8" w:rsidRPr="00D015C4">
        <w:rPr>
          <w:rFonts w:ascii="Bookman Old Style" w:hAnsi="Bookman Old Style"/>
          <w:sz w:val="24"/>
          <w:szCs w:val="24"/>
        </w:rPr>
        <w:t>assail</w:t>
      </w:r>
      <w:r w:rsidRPr="00D015C4">
        <w:rPr>
          <w:rFonts w:ascii="Bookman Old Style" w:hAnsi="Bookman Old Style"/>
          <w:sz w:val="24"/>
          <w:szCs w:val="24"/>
        </w:rPr>
        <w:t xml:space="preserve"> the issue </w:t>
      </w:r>
      <w:r w:rsidR="00D742C8" w:rsidRPr="00D015C4">
        <w:rPr>
          <w:rFonts w:ascii="Bookman Old Style" w:hAnsi="Bookman Old Style"/>
          <w:sz w:val="24"/>
          <w:szCs w:val="24"/>
        </w:rPr>
        <w:t>as to the definition of AGR in the license agreement before the Tribunal again</w:t>
      </w:r>
      <w:r w:rsidRPr="00D015C4">
        <w:rPr>
          <w:rFonts w:ascii="Bookman Old Style" w:hAnsi="Bookman Old Style"/>
          <w:sz w:val="24"/>
          <w:szCs w:val="24"/>
        </w:rPr>
        <w:t xml:space="preserve">. </w:t>
      </w:r>
      <w:r w:rsidR="00DB7446" w:rsidRPr="00D015C4">
        <w:rPr>
          <w:rFonts w:ascii="Bookman Old Style" w:hAnsi="Bookman Old Style"/>
          <w:sz w:val="24"/>
          <w:szCs w:val="24"/>
        </w:rPr>
        <w:t>Per contra,</w:t>
      </w:r>
      <w:r w:rsidR="00DD274D" w:rsidRPr="00D015C4">
        <w:rPr>
          <w:rFonts w:ascii="Bookman Old Style" w:hAnsi="Bookman Old Style"/>
          <w:sz w:val="24"/>
          <w:szCs w:val="24"/>
        </w:rPr>
        <w:t xml:space="preserve"> t</w:t>
      </w:r>
      <w:r w:rsidRPr="00D015C4">
        <w:rPr>
          <w:rFonts w:ascii="Bookman Old Style" w:hAnsi="Bookman Old Style"/>
          <w:sz w:val="24"/>
          <w:szCs w:val="24"/>
        </w:rPr>
        <w:t xml:space="preserve">he </w:t>
      </w:r>
      <w:r w:rsidR="00DB7446" w:rsidRPr="00D015C4">
        <w:rPr>
          <w:rFonts w:ascii="Bookman Old Style" w:hAnsi="Bookman Old Style"/>
          <w:sz w:val="24"/>
          <w:szCs w:val="24"/>
        </w:rPr>
        <w:t>TSPs</w:t>
      </w:r>
      <w:r w:rsidRPr="00D015C4">
        <w:rPr>
          <w:rFonts w:ascii="Bookman Old Style" w:hAnsi="Bookman Old Style"/>
          <w:sz w:val="24"/>
          <w:szCs w:val="24"/>
        </w:rPr>
        <w:t xml:space="preserve"> contended before the Tribunal that as the appeal of the </w:t>
      </w:r>
      <w:r w:rsidR="00DD274D" w:rsidRPr="00D015C4">
        <w:rPr>
          <w:rFonts w:ascii="Bookman Old Style" w:hAnsi="Bookman Old Style"/>
          <w:sz w:val="24"/>
          <w:szCs w:val="24"/>
        </w:rPr>
        <w:t xml:space="preserve">Central Government </w:t>
      </w:r>
      <w:r w:rsidRPr="00D015C4">
        <w:rPr>
          <w:rFonts w:ascii="Bookman Old Style" w:hAnsi="Bookman Old Style"/>
          <w:sz w:val="24"/>
          <w:szCs w:val="24"/>
        </w:rPr>
        <w:t>has been dismissed by th</w:t>
      </w:r>
      <w:r w:rsidR="00DD274D" w:rsidRPr="00D015C4">
        <w:rPr>
          <w:rFonts w:ascii="Bookman Old Style" w:hAnsi="Bookman Old Style"/>
          <w:sz w:val="24"/>
          <w:szCs w:val="24"/>
        </w:rPr>
        <w:t>e</w:t>
      </w:r>
      <w:r w:rsidRPr="00D015C4">
        <w:rPr>
          <w:rFonts w:ascii="Bookman Old Style" w:hAnsi="Bookman Old Style"/>
          <w:sz w:val="24"/>
          <w:szCs w:val="24"/>
        </w:rPr>
        <w:t xml:space="preserve"> </w:t>
      </w:r>
      <w:r w:rsidR="00DB7446" w:rsidRPr="00D015C4">
        <w:rPr>
          <w:rFonts w:ascii="Bookman Old Style" w:hAnsi="Bookman Old Style"/>
          <w:sz w:val="24"/>
          <w:szCs w:val="24"/>
        </w:rPr>
        <w:t xml:space="preserve">Supreme </w:t>
      </w:r>
      <w:r w:rsidRPr="00D015C4">
        <w:rPr>
          <w:rFonts w:ascii="Bookman Old Style" w:hAnsi="Bookman Old Style"/>
          <w:sz w:val="24"/>
          <w:szCs w:val="24"/>
        </w:rPr>
        <w:t xml:space="preserve">Court, the </w:t>
      </w:r>
      <w:r w:rsidR="00DD274D" w:rsidRPr="00D015C4">
        <w:rPr>
          <w:rFonts w:ascii="Bookman Old Style" w:hAnsi="Bookman Old Style"/>
          <w:sz w:val="24"/>
          <w:szCs w:val="24"/>
        </w:rPr>
        <w:t xml:space="preserve">Central Government </w:t>
      </w:r>
      <w:r w:rsidRPr="00D015C4">
        <w:rPr>
          <w:rFonts w:ascii="Bookman Old Style" w:hAnsi="Bookman Old Style"/>
          <w:sz w:val="24"/>
          <w:szCs w:val="24"/>
        </w:rPr>
        <w:t xml:space="preserve">was not entitled to argue the matter </w:t>
      </w:r>
      <w:r w:rsidRPr="000C56D4">
        <w:rPr>
          <w:rFonts w:ascii="Bookman Old Style" w:hAnsi="Bookman Old Style"/>
          <w:i/>
          <w:sz w:val="24"/>
          <w:szCs w:val="24"/>
        </w:rPr>
        <w:t>de novo</w:t>
      </w:r>
      <w:r w:rsidRPr="00D015C4">
        <w:rPr>
          <w:rFonts w:ascii="Bookman Old Style" w:hAnsi="Bookman Old Style"/>
          <w:sz w:val="24"/>
          <w:szCs w:val="24"/>
        </w:rPr>
        <w:t xml:space="preserve"> and </w:t>
      </w:r>
      <w:r w:rsidR="00542240" w:rsidRPr="00D015C4">
        <w:rPr>
          <w:rFonts w:ascii="Bookman Old Style" w:hAnsi="Bookman Old Style"/>
          <w:sz w:val="24"/>
          <w:szCs w:val="24"/>
        </w:rPr>
        <w:t xml:space="preserve">accordingly </w:t>
      </w:r>
      <w:r w:rsidRPr="00D015C4">
        <w:rPr>
          <w:rFonts w:ascii="Bookman Old Style" w:hAnsi="Bookman Old Style"/>
          <w:sz w:val="24"/>
          <w:szCs w:val="24"/>
        </w:rPr>
        <w:t xml:space="preserve">the earlier order dated </w:t>
      </w:r>
      <w:r w:rsidR="00DD274D" w:rsidRPr="00D015C4">
        <w:rPr>
          <w:rFonts w:ascii="Bookman Old Style" w:hAnsi="Bookman Old Style"/>
          <w:sz w:val="24"/>
          <w:szCs w:val="24"/>
        </w:rPr>
        <w:t>0</w:t>
      </w:r>
      <w:r w:rsidRPr="00D015C4">
        <w:rPr>
          <w:rFonts w:ascii="Bookman Old Style" w:hAnsi="Bookman Old Style"/>
          <w:sz w:val="24"/>
          <w:szCs w:val="24"/>
        </w:rPr>
        <w:t>7</w:t>
      </w:r>
      <w:r w:rsidR="00DD274D" w:rsidRPr="00D015C4">
        <w:rPr>
          <w:rFonts w:ascii="Bookman Old Style" w:hAnsi="Bookman Old Style"/>
          <w:sz w:val="24"/>
          <w:szCs w:val="24"/>
        </w:rPr>
        <w:t>.0</w:t>
      </w:r>
      <w:r w:rsidRPr="00D015C4">
        <w:rPr>
          <w:rFonts w:ascii="Bookman Old Style" w:hAnsi="Bookman Old Style"/>
          <w:sz w:val="24"/>
          <w:szCs w:val="24"/>
        </w:rPr>
        <w:t>7</w:t>
      </w:r>
      <w:r w:rsidR="00DD274D" w:rsidRPr="00D015C4">
        <w:rPr>
          <w:rFonts w:ascii="Bookman Old Style" w:hAnsi="Bookman Old Style"/>
          <w:sz w:val="24"/>
          <w:szCs w:val="24"/>
        </w:rPr>
        <w:t>.</w:t>
      </w:r>
      <w:r w:rsidRPr="00D015C4">
        <w:rPr>
          <w:rFonts w:ascii="Bookman Old Style" w:hAnsi="Bookman Old Style"/>
          <w:sz w:val="24"/>
          <w:szCs w:val="24"/>
        </w:rPr>
        <w:t xml:space="preserve">2006 of the Tribunal had become final. </w:t>
      </w:r>
    </w:p>
    <w:p w14:paraId="71A23731" w14:textId="1F5BF4B6" w:rsidR="00BE1F16" w:rsidRPr="00D015C4" w:rsidRDefault="00542240"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Subsequently, the Tribunal in its </w:t>
      </w:r>
      <w:r w:rsidR="000C56D4" w:rsidRPr="00D015C4">
        <w:rPr>
          <w:rFonts w:ascii="Bookman Old Style" w:hAnsi="Bookman Old Style"/>
          <w:sz w:val="24"/>
          <w:szCs w:val="24"/>
        </w:rPr>
        <w:t>order-dated</w:t>
      </w:r>
      <w:r w:rsidR="009D4B9F" w:rsidRPr="00D015C4">
        <w:rPr>
          <w:rFonts w:ascii="Bookman Old Style" w:hAnsi="Bookman Old Style"/>
          <w:sz w:val="24"/>
          <w:szCs w:val="24"/>
        </w:rPr>
        <w:t xml:space="preserve"> 30</w:t>
      </w:r>
      <w:r w:rsidR="00DD274D" w:rsidRPr="00D015C4">
        <w:rPr>
          <w:rFonts w:ascii="Bookman Old Style" w:hAnsi="Bookman Old Style"/>
          <w:sz w:val="24"/>
          <w:szCs w:val="24"/>
        </w:rPr>
        <w:t>.0</w:t>
      </w:r>
      <w:r w:rsidR="009D4B9F" w:rsidRPr="00D015C4">
        <w:rPr>
          <w:rFonts w:ascii="Bookman Old Style" w:hAnsi="Bookman Old Style"/>
          <w:sz w:val="24"/>
          <w:szCs w:val="24"/>
        </w:rPr>
        <w:t>8</w:t>
      </w:r>
      <w:r w:rsidR="00DD274D" w:rsidRPr="00D015C4">
        <w:rPr>
          <w:rFonts w:ascii="Bookman Old Style" w:hAnsi="Bookman Old Style"/>
          <w:sz w:val="24"/>
          <w:szCs w:val="24"/>
        </w:rPr>
        <w:t>.</w:t>
      </w:r>
      <w:r w:rsidR="009D4B9F" w:rsidRPr="00D015C4">
        <w:rPr>
          <w:rFonts w:ascii="Bookman Old Style" w:hAnsi="Bookman Old Style"/>
          <w:sz w:val="24"/>
          <w:szCs w:val="24"/>
        </w:rPr>
        <w:t xml:space="preserve">2007 held that its earlier order </w:t>
      </w:r>
      <w:r w:rsidR="00D742C8" w:rsidRPr="00D015C4">
        <w:rPr>
          <w:rFonts w:ascii="Bookman Old Style" w:hAnsi="Bookman Old Style"/>
          <w:sz w:val="24"/>
          <w:szCs w:val="24"/>
        </w:rPr>
        <w:t xml:space="preserve">is </w:t>
      </w:r>
      <w:r w:rsidR="009D4B9F" w:rsidRPr="00D015C4">
        <w:rPr>
          <w:rFonts w:ascii="Bookman Old Style" w:hAnsi="Bookman Old Style"/>
          <w:sz w:val="24"/>
          <w:szCs w:val="24"/>
        </w:rPr>
        <w:t>final</w:t>
      </w:r>
      <w:r w:rsidR="00D742C8" w:rsidRPr="00D015C4">
        <w:rPr>
          <w:rFonts w:ascii="Bookman Old Style" w:hAnsi="Bookman Old Style"/>
          <w:sz w:val="24"/>
          <w:szCs w:val="24"/>
        </w:rPr>
        <w:t xml:space="preserve"> and</w:t>
      </w:r>
      <w:r w:rsidR="009D4B9F" w:rsidRPr="00D015C4">
        <w:rPr>
          <w:rFonts w:ascii="Bookman Old Style" w:hAnsi="Bookman Old Style"/>
          <w:sz w:val="24"/>
          <w:szCs w:val="24"/>
        </w:rPr>
        <w:t xml:space="preserve"> </w:t>
      </w:r>
      <w:r w:rsidR="000C56D4">
        <w:rPr>
          <w:rFonts w:ascii="Bookman Old Style" w:hAnsi="Bookman Old Style"/>
          <w:sz w:val="24"/>
          <w:szCs w:val="24"/>
        </w:rPr>
        <w:t>the same</w:t>
      </w:r>
      <w:r w:rsidR="009D4B9F" w:rsidRPr="00D015C4">
        <w:rPr>
          <w:rFonts w:ascii="Bookman Old Style" w:hAnsi="Bookman Old Style"/>
          <w:sz w:val="24"/>
          <w:szCs w:val="24"/>
        </w:rPr>
        <w:t xml:space="preserve"> cannot </w:t>
      </w:r>
      <w:r w:rsidR="002B2F34">
        <w:rPr>
          <w:rFonts w:ascii="Bookman Old Style" w:hAnsi="Bookman Old Style"/>
          <w:sz w:val="24"/>
          <w:szCs w:val="24"/>
        </w:rPr>
        <w:t xml:space="preserve">now </w:t>
      </w:r>
      <w:r w:rsidR="009D4B9F" w:rsidRPr="00D015C4">
        <w:rPr>
          <w:rFonts w:ascii="Bookman Old Style" w:hAnsi="Bookman Old Style"/>
          <w:sz w:val="24"/>
          <w:szCs w:val="24"/>
        </w:rPr>
        <w:t>be re</w:t>
      </w:r>
      <w:r w:rsidR="002B2F34">
        <w:rPr>
          <w:rFonts w:ascii="Bookman Old Style" w:hAnsi="Bookman Old Style"/>
          <w:sz w:val="24"/>
          <w:szCs w:val="24"/>
        </w:rPr>
        <w:t>-</w:t>
      </w:r>
      <w:r w:rsidR="009D4B9F" w:rsidRPr="00D015C4">
        <w:rPr>
          <w:rFonts w:ascii="Bookman Old Style" w:hAnsi="Bookman Old Style"/>
          <w:sz w:val="24"/>
          <w:szCs w:val="24"/>
        </w:rPr>
        <w:t>opened after the dismissal of Appeal by th</w:t>
      </w:r>
      <w:r w:rsidR="00D742C8" w:rsidRPr="00D015C4">
        <w:rPr>
          <w:rFonts w:ascii="Bookman Old Style" w:hAnsi="Bookman Old Style"/>
          <w:sz w:val="24"/>
          <w:szCs w:val="24"/>
        </w:rPr>
        <w:t>e</w:t>
      </w:r>
      <w:r w:rsidR="009D4B9F" w:rsidRPr="00D015C4">
        <w:rPr>
          <w:rFonts w:ascii="Bookman Old Style" w:hAnsi="Bookman Old Style"/>
          <w:sz w:val="24"/>
          <w:szCs w:val="24"/>
        </w:rPr>
        <w:t xml:space="preserve"> </w:t>
      </w:r>
      <w:r w:rsidR="006B4E84">
        <w:rPr>
          <w:rFonts w:ascii="Bookman Old Style" w:hAnsi="Bookman Old Style"/>
          <w:sz w:val="24"/>
          <w:szCs w:val="24"/>
        </w:rPr>
        <w:t xml:space="preserve">Supreme </w:t>
      </w:r>
      <w:r w:rsidR="009D4B9F" w:rsidRPr="00D015C4">
        <w:rPr>
          <w:rFonts w:ascii="Bookman Old Style" w:hAnsi="Bookman Old Style"/>
          <w:sz w:val="24"/>
          <w:szCs w:val="24"/>
        </w:rPr>
        <w:t xml:space="preserve">Court. The Tribunal </w:t>
      </w:r>
      <w:r w:rsidR="00C32F57" w:rsidRPr="00D015C4">
        <w:rPr>
          <w:rFonts w:ascii="Bookman Old Style" w:hAnsi="Bookman Old Style"/>
          <w:sz w:val="24"/>
          <w:szCs w:val="24"/>
        </w:rPr>
        <w:t>concluded</w:t>
      </w:r>
      <w:r w:rsidR="00FF472E" w:rsidRPr="00D015C4">
        <w:rPr>
          <w:rFonts w:ascii="Bookman Old Style" w:hAnsi="Bookman Old Style"/>
          <w:sz w:val="24"/>
          <w:szCs w:val="24"/>
        </w:rPr>
        <w:t xml:space="preserve"> </w:t>
      </w:r>
      <w:r w:rsidR="009D4B9F" w:rsidRPr="00D015C4">
        <w:rPr>
          <w:rFonts w:ascii="Bookman Old Style" w:hAnsi="Bookman Old Style"/>
          <w:sz w:val="24"/>
          <w:szCs w:val="24"/>
        </w:rPr>
        <w:t xml:space="preserve">that its finding in the earlier order dated </w:t>
      </w:r>
      <w:r w:rsidR="00DD274D" w:rsidRPr="00D015C4">
        <w:rPr>
          <w:rFonts w:ascii="Bookman Old Style" w:hAnsi="Bookman Old Style"/>
          <w:sz w:val="24"/>
          <w:szCs w:val="24"/>
        </w:rPr>
        <w:t>0</w:t>
      </w:r>
      <w:r w:rsidR="009D4B9F" w:rsidRPr="00D015C4">
        <w:rPr>
          <w:rFonts w:ascii="Bookman Old Style" w:hAnsi="Bookman Old Style"/>
          <w:sz w:val="24"/>
          <w:szCs w:val="24"/>
        </w:rPr>
        <w:t>7</w:t>
      </w:r>
      <w:r w:rsidR="00DD274D" w:rsidRPr="00D015C4">
        <w:rPr>
          <w:rFonts w:ascii="Bookman Old Style" w:hAnsi="Bookman Old Style"/>
          <w:sz w:val="24"/>
          <w:szCs w:val="24"/>
        </w:rPr>
        <w:t>.07.</w:t>
      </w:r>
      <w:r w:rsidR="009D4B9F" w:rsidRPr="00D015C4">
        <w:rPr>
          <w:rFonts w:ascii="Bookman Old Style" w:hAnsi="Bookman Old Style"/>
          <w:sz w:val="24"/>
          <w:szCs w:val="24"/>
        </w:rPr>
        <w:t>2006 that</w:t>
      </w:r>
      <w:r w:rsidRPr="00D015C4">
        <w:rPr>
          <w:rFonts w:ascii="Bookman Old Style" w:hAnsi="Bookman Old Style"/>
          <w:sz w:val="24"/>
          <w:szCs w:val="24"/>
        </w:rPr>
        <w:t xml:space="preserve"> AGR </w:t>
      </w:r>
      <w:r w:rsidR="009D4B9F" w:rsidRPr="00D015C4">
        <w:rPr>
          <w:rFonts w:ascii="Bookman Old Style" w:hAnsi="Bookman Old Style"/>
          <w:sz w:val="24"/>
          <w:szCs w:val="24"/>
        </w:rPr>
        <w:t>will include only revenue arising from licensed activity and</w:t>
      </w:r>
      <w:r w:rsidRPr="00D015C4">
        <w:rPr>
          <w:rFonts w:ascii="Bookman Old Style" w:hAnsi="Bookman Old Style"/>
          <w:sz w:val="24"/>
          <w:szCs w:val="24"/>
        </w:rPr>
        <w:t xml:space="preserve"> inclusion of</w:t>
      </w:r>
      <w:r w:rsidR="00D742C8" w:rsidRPr="00D015C4">
        <w:rPr>
          <w:rFonts w:ascii="Bookman Old Style" w:hAnsi="Bookman Old Style"/>
          <w:sz w:val="24"/>
          <w:szCs w:val="24"/>
        </w:rPr>
        <w:t xml:space="preserve"> </w:t>
      </w:r>
      <w:r w:rsidR="009D4B9F" w:rsidRPr="00D015C4">
        <w:rPr>
          <w:rFonts w:ascii="Bookman Old Style" w:hAnsi="Bookman Old Style"/>
          <w:sz w:val="24"/>
          <w:szCs w:val="24"/>
        </w:rPr>
        <w:t xml:space="preserve">revenue from </w:t>
      </w:r>
      <w:r w:rsidRPr="00D015C4">
        <w:rPr>
          <w:rFonts w:ascii="Bookman Old Style" w:hAnsi="Bookman Old Style"/>
          <w:sz w:val="24"/>
          <w:szCs w:val="24"/>
        </w:rPr>
        <w:t>other</w:t>
      </w:r>
      <w:r w:rsidR="00755A7E" w:rsidRPr="00D015C4">
        <w:rPr>
          <w:rFonts w:ascii="Bookman Old Style" w:hAnsi="Bookman Old Style"/>
          <w:sz w:val="24"/>
          <w:szCs w:val="24"/>
        </w:rPr>
        <w:t xml:space="preserve"> </w:t>
      </w:r>
      <w:r w:rsidR="009D4B9F" w:rsidRPr="00D015C4">
        <w:rPr>
          <w:rFonts w:ascii="Bookman Old Style" w:hAnsi="Bookman Old Style"/>
          <w:sz w:val="24"/>
          <w:szCs w:val="24"/>
        </w:rPr>
        <w:t xml:space="preserve">activities outside the licence cannot be </w:t>
      </w:r>
      <w:r w:rsidRPr="00D015C4">
        <w:rPr>
          <w:rFonts w:ascii="Bookman Old Style" w:hAnsi="Bookman Old Style"/>
          <w:sz w:val="24"/>
          <w:szCs w:val="24"/>
        </w:rPr>
        <w:t xml:space="preserve">included in the ambit of AGR, as sought by the Central Government. </w:t>
      </w:r>
    </w:p>
    <w:p w14:paraId="02C3B499" w14:textId="709D99A2" w:rsidR="00BE1F16" w:rsidRPr="00D015C4" w:rsidRDefault="009D4B9F"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lastRenderedPageBreak/>
        <w:t xml:space="preserve">The </w:t>
      </w:r>
      <w:r w:rsidR="009C3E0F" w:rsidRPr="00D015C4">
        <w:rPr>
          <w:rFonts w:ascii="Bookman Old Style" w:hAnsi="Bookman Old Style"/>
          <w:sz w:val="24"/>
          <w:szCs w:val="24"/>
        </w:rPr>
        <w:t xml:space="preserve">aforesaid </w:t>
      </w:r>
      <w:r w:rsidRPr="00D015C4">
        <w:rPr>
          <w:rFonts w:ascii="Bookman Old Style" w:hAnsi="Bookman Old Style"/>
          <w:sz w:val="24"/>
          <w:szCs w:val="24"/>
        </w:rPr>
        <w:t>order dated 30.08.2007, passed by the TDSAT</w:t>
      </w:r>
      <w:r w:rsidR="00BE1F16" w:rsidRPr="00D015C4">
        <w:rPr>
          <w:rFonts w:ascii="Bookman Old Style" w:hAnsi="Bookman Old Style"/>
          <w:sz w:val="24"/>
          <w:szCs w:val="24"/>
        </w:rPr>
        <w:t xml:space="preserve"> </w:t>
      </w:r>
      <w:r w:rsidRPr="00D015C4">
        <w:rPr>
          <w:rFonts w:ascii="Bookman Old Style" w:hAnsi="Bookman Old Style"/>
          <w:sz w:val="24"/>
          <w:szCs w:val="24"/>
        </w:rPr>
        <w:t>was challenged</w:t>
      </w:r>
      <w:r w:rsidR="009C3E0F" w:rsidRPr="00D015C4">
        <w:rPr>
          <w:rFonts w:ascii="Bookman Old Style" w:hAnsi="Bookman Old Style"/>
          <w:sz w:val="24"/>
          <w:szCs w:val="24"/>
        </w:rPr>
        <w:t xml:space="preserve"> by the Central Government</w:t>
      </w:r>
      <w:r w:rsidRPr="00D015C4">
        <w:rPr>
          <w:rFonts w:ascii="Bookman Old Style" w:hAnsi="Bookman Old Style"/>
          <w:sz w:val="24"/>
          <w:szCs w:val="24"/>
        </w:rPr>
        <w:t xml:space="preserve"> before the Supreme Court in </w:t>
      </w:r>
      <w:r w:rsidRPr="00D015C4">
        <w:rPr>
          <w:rFonts w:ascii="Bookman Old Style" w:hAnsi="Bookman Old Style"/>
          <w:b/>
          <w:i/>
          <w:sz w:val="24"/>
          <w:szCs w:val="24"/>
        </w:rPr>
        <w:t xml:space="preserve">Union of India &amp; </w:t>
      </w:r>
      <w:proofErr w:type="spellStart"/>
      <w:r w:rsidRPr="00D015C4">
        <w:rPr>
          <w:rFonts w:ascii="Bookman Old Style" w:hAnsi="Bookman Old Style"/>
          <w:b/>
          <w:i/>
          <w:sz w:val="24"/>
          <w:szCs w:val="24"/>
        </w:rPr>
        <w:t>Anr</w:t>
      </w:r>
      <w:proofErr w:type="spellEnd"/>
      <w:r w:rsidRPr="00D015C4">
        <w:rPr>
          <w:rFonts w:ascii="Bookman Old Style" w:hAnsi="Bookman Old Style"/>
          <w:b/>
          <w:i/>
          <w:sz w:val="24"/>
          <w:szCs w:val="24"/>
        </w:rPr>
        <w:t xml:space="preserve">. v. Association of Unified Telecom Service Providers of India &amp; </w:t>
      </w:r>
      <w:proofErr w:type="spellStart"/>
      <w:r w:rsidRPr="00D015C4">
        <w:rPr>
          <w:rFonts w:ascii="Bookman Old Style" w:hAnsi="Bookman Old Style"/>
          <w:b/>
          <w:i/>
          <w:sz w:val="24"/>
          <w:szCs w:val="24"/>
        </w:rPr>
        <w:t>Ors</w:t>
      </w:r>
      <w:proofErr w:type="spellEnd"/>
      <w:r w:rsidRPr="00D015C4">
        <w:rPr>
          <w:rFonts w:ascii="Bookman Old Style" w:hAnsi="Bookman Old Style"/>
          <w:b/>
          <w:i/>
          <w:sz w:val="24"/>
          <w:szCs w:val="24"/>
        </w:rPr>
        <w:t>.</w:t>
      </w:r>
      <w:r w:rsidRPr="00D015C4">
        <w:rPr>
          <w:rStyle w:val="FootnoteReference"/>
          <w:rFonts w:ascii="Bookman Old Style" w:hAnsi="Bookman Old Style"/>
          <w:b/>
          <w:i/>
          <w:sz w:val="24"/>
          <w:szCs w:val="24"/>
        </w:rPr>
        <w:footnoteReference w:id="1"/>
      </w:r>
      <w:r w:rsidRPr="00D015C4">
        <w:rPr>
          <w:rFonts w:ascii="Bookman Old Style" w:hAnsi="Bookman Old Style"/>
          <w:sz w:val="24"/>
          <w:szCs w:val="24"/>
        </w:rPr>
        <w:t xml:space="preserve">. </w:t>
      </w:r>
      <w:r w:rsidR="003503AD" w:rsidRPr="00D015C4">
        <w:rPr>
          <w:rFonts w:ascii="Bookman Old Style" w:hAnsi="Bookman Old Style"/>
          <w:sz w:val="24"/>
          <w:szCs w:val="24"/>
        </w:rPr>
        <w:t xml:space="preserve"> The Apex Court by its decision dated 30.08.2007</w:t>
      </w:r>
      <w:r w:rsidR="005402F4" w:rsidRPr="00D015C4">
        <w:rPr>
          <w:rFonts w:ascii="Bookman Old Style" w:hAnsi="Bookman Old Style"/>
          <w:sz w:val="24"/>
          <w:szCs w:val="24"/>
        </w:rPr>
        <w:t xml:space="preserve"> while setting aside the order of the TDSAT observed:</w:t>
      </w:r>
    </w:p>
    <w:p w14:paraId="782977AE" w14:textId="3877D375" w:rsidR="00A978E4" w:rsidRPr="00C77AA9" w:rsidRDefault="00C34245" w:rsidP="00C77AA9">
      <w:pPr>
        <w:pStyle w:val="ListParagraph"/>
        <w:spacing w:after="200" w:line="240" w:lineRule="auto"/>
        <w:ind w:left="851" w:right="851"/>
        <w:contextualSpacing w:val="0"/>
        <w:jc w:val="both"/>
        <w:rPr>
          <w:rFonts w:ascii="Bookman Old Style" w:hAnsi="Bookman Old Style"/>
          <w:sz w:val="24"/>
          <w:szCs w:val="24"/>
        </w:rPr>
      </w:pPr>
      <w:r w:rsidRPr="00D015C4">
        <w:rPr>
          <w:rFonts w:ascii="Bookman Old Style" w:hAnsi="Bookman Old Style"/>
          <w:iCs/>
          <w:sz w:val="24"/>
          <w:szCs w:val="24"/>
          <w:lang w:val="en-IN"/>
        </w:rPr>
        <w:t>“</w:t>
      </w:r>
      <w:r w:rsidR="00A978E4" w:rsidRPr="00C77AA9">
        <w:rPr>
          <w:rFonts w:ascii="Bookman Old Style" w:hAnsi="Bookman Old Style"/>
          <w:iCs/>
          <w:sz w:val="24"/>
          <w:szCs w:val="24"/>
          <w:lang w:val="en-IN"/>
        </w:rPr>
        <w:t>59.</w:t>
      </w:r>
      <w:r w:rsidR="00A978E4" w:rsidRPr="00C77AA9">
        <w:rPr>
          <w:rFonts w:ascii="Bookman Old Style" w:hAnsi="Bookman Old Style"/>
          <w:iCs/>
          <w:sz w:val="24"/>
          <w:szCs w:val="24"/>
          <w:u w:val="single"/>
          <w:lang w:val="en-IN"/>
        </w:rPr>
        <w:t xml:space="preserve"> Thus, the Tribunal in its order dated 7-7-2006 has not just decided a dispute on the interpretation of adjusted gross revenue in the licence agreement, but has decided on the validity of the definition of adjusted gross revenue in the licence agreement. As we have already held, the Tribunal had no jurisdiction to decide on the validity of the terms and conditions of the licence including the definition of adjusted gross revenue incorporated in the licence agreement. Hence, the order dated 7-7-2006 of the Tribunal insofar as it decides that revenue realised by the licensee from activities beyond the licence will be excluded from adjusted gross revenue dehors the definition of adjusted gross revenue in the licence agreement is without jurisdiction and is a nullity and the principle of res judicata will not apply.</w:t>
      </w:r>
    </w:p>
    <w:p w14:paraId="1ECAF368" w14:textId="6E357A12" w:rsidR="00A978E4" w:rsidRPr="00D015C4" w:rsidRDefault="00A978E4" w:rsidP="00690E46">
      <w:pPr>
        <w:pStyle w:val="ListParagraph"/>
        <w:spacing w:after="200" w:line="240" w:lineRule="auto"/>
        <w:ind w:left="851" w:right="851"/>
        <w:contextualSpacing w:val="0"/>
        <w:jc w:val="center"/>
        <w:rPr>
          <w:rFonts w:ascii="Bookman Old Style" w:hAnsi="Bookman Old Style"/>
          <w:i/>
          <w:sz w:val="24"/>
          <w:szCs w:val="24"/>
          <w:lang w:val="en-IN"/>
        </w:rPr>
      </w:pPr>
      <w:r w:rsidRPr="00D015C4">
        <w:rPr>
          <w:rFonts w:ascii="Bookman Old Style" w:hAnsi="Bookman Old Style"/>
          <w:i/>
          <w:sz w:val="24"/>
          <w:szCs w:val="24"/>
          <w:lang w:val="en-IN"/>
        </w:rPr>
        <w:t>XXXXXXXXXX</w:t>
      </w:r>
    </w:p>
    <w:p w14:paraId="2B819ED7" w14:textId="5EFCF6A8" w:rsidR="00A978E4" w:rsidRPr="00D015C4" w:rsidRDefault="00A978E4" w:rsidP="00690E46">
      <w:pPr>
        <w:pStyle w:val="ListParagraph"/>
        <w:spacing w:after="200" w:line="240" w:lineRule="auto"/>
        <w:ind w:left="851" w:right="851"/>
        <w:contextualSpacing w:val="0"/>
        <w:jc w:val="both"/>
        <w:rPr>
          <w:rFonts w:ascii="Bookman Old Style" w:hAnsi="Bookman Old Style"/>
          <w:iCs/>
          <w:sz w:val="24"/>
          <w:szCs w:val="24"/>
          <w:u w:val="single"/>
          <w:lang w:val="en-IN"/>
        </w:rPr>
      </w:pPr>
      <w:r w:rsidRPr="00D015C4">
        <w:rPr>
          <w:rFonts w:ascii="Bookman Old Style" w:hAnsi="Bookman Old Style"/>
          <w:iCs/>
          <w:sz w:val="24"/>
          <w:szCs w:val="24"/>
          <w:lang w:val="en-IN"/>
        </w:rPr>
        <w:t xml:space="preserve">61. </w:t>
      </w:r>
      <w:r w:rsidRPr="00D015C4">
        <w:rPr>
          <w:rFonts w:ascii="Bookman Old Style" w:hAnsi="Bookman Old Style"/>
          <w:iCs/>
          <w:sz w:val="24"/>
          <w:szCs w:val="24"/>
          <w:u w:val="single"/>
          <w:lang w:val="en-IN"/>
        </w:rPr>
        <w:t>We accordingly hold that the order dated 7-7-2006 of the Tribunal was not binding on the Union of India even in those cases in which the Union of India did not file any appeal against the order dated 7-7-2006 before this Court.</w:t>
      </w:r>
    </w:p>
    <w:p w14:paraId="7E2254F6" w14:textId="37841E2C" w:rsidR="00A978E4" w:rsidRPr="00D015C4" w:rsidRDefault="00A978E4" w:rsidP="00690E46">
      <w:pPr>
        <w:pStyle w:val="ListParagraph"/>
        <w:spacing w:after="200" w:line="240" w:lineRule="auto"/>
        <w:ind w:left="851" w:right="851"/>
        <w:contextualSpacing w:val="0"/>
        <w:jc w:val="both"/>
        <w:rPr>
          <w:rFonts w:ascii="Bookman Old Style" w:hAnsi="Bookman Old Style"/>
          <w:iCs/>
          <w:sz w:val="24"/>
          <w:szCs w:val="24"/>
          <w:u w:val="single"/>
        </w:rPr>
      </w:pPr>
      <w:r w:rsidRPr="00D015C4">
        <w:rPr>
          <w:rFonts w:ascii="Bookman Old Style" w:hAnsi="Bookman Old Style"/>
          <w:iCs/>
          <w:sz w:val="24"/>
          <w:szCs w:val="24"/>
          <w:lang w:val="en-IN"/>
        </w:rPr>
        <w:t xml:space="preserve">63. </w:t>
      </w:r>
      <w:r w:rsidR="00C77AA9">
        <w:rPr>
          <w:rFonts w:ascii="Bookman Old Style" w:hAnsi="Bookman Old Style"/>
          <w:iCs/>
          <w:sz w:val="24"/>
          <w:szCs w:val="24"/>
          <w:lang w:val="en-IN"/>
        </w:rPr>
        <w:t>…</w:t>
      </w:r>
      <w:r w:rsidRPr="00D015C4">
        <w:rPr>
          <w:rFonts w:ascii="Bookman Old Style" w:hAnsi="Bookman Old Style"/>
          <w:iCs/>
          <w:sz w:val="24"/>
          <w:szCs w:val="24"/>
          <w:lang w:val="en-IN"/>
        </w:rPr>
        <w:t xml:space="preserve"> </w:t>
      </w:r>
      <w:r w:rsidRPr="00D015C4">
        <w:rPr>
          <w:rFonts w:ascii="Bookman Old Style" w:hAnsi="Bookman Old Style"/>
          <w:iCs/>
          <w:sz w:val="24"/>
          <w:szCs w:val="24"/>
          <w:u w:val="single"/>
          <w:lang w:val="en-IN"/>
        </w:rPr>
        <w:t>We, however, find from the order dated 7-7-2006 that instead of challenging any demands made on them, the licensees have questioned the validity of the definition of adjusted gross revenue in the licences given to them and the Tribunal has finally decided in its order dated 30-8-2007 as to what items of revenue would be part of adjusted gross revenue and what items of revenue would not be part of adjusted gross revenue without going into the facts and materials relating to the demand on a particular licensee</w:t>
      </w:r>
      <w:r w:rsidRPr="00D015C4">
        <w:rPr>
          <w:rFonts w:ascii="Bookman Old Style" w:hAnsi="Bookman Old Style"/>
          <w:iCs/>
          <w:sz w:val="24"/>
          <w:szCs w:val="24"/>
          <w:u w:val="single"/>
        </w:rPr>
        <w:t>.</w:t>
      </w:r>
    </w:p>
    <w:p w14:paraId="00385C37" w14:textId="7376A9CA" w:rsidR="005402F4" w:rsidRPr="00D015C4" w:rsidRDefault="00A3356A" w:rsidP="00690E46">
      <w:pPr>
        <w:pStyle w:val="ListParagraph"/>
        <w:spacing w:after="200" w:line="240" w:lineRule="auto"/>
        <w:ind w:left="851" w:right="851"/>
        <w:contextualSpacing w:val="0"/>
        <w:jc w:val="right"/>
        <w:rPr>
          <w:rFonts w:ascii="Bookman Old Style" w:hAnsi="Bookman Old Style"/>
          <w:iCs/>
          <w:sz w:val="24"/>
          <w:szCs w:val="24"/>
          <w:u w:val="single"/>
        </w:rPr>
      </w:pPr>
      <w:r w:rsidRPr="00D015C4">
        <w:rPr>
          <w:rFonts w:ascii="Bookman Old Style" w:hAnsi="Bookman Old Style"/>
          <w:iCs/>
          <w:sz w:val="24"/>
          <w:szCs w:val="24"/>
          <w:lang w:val="en-IN"/>
        </w:rPr>
        <w:t>[Emphasis Added]</w:t>
      </w:r>
    </w:p>
    <w:p w14:paraId="56F02F9A" w14:textId="1C731B27" w:rsidR="00D57CC5" w:rsidRPr="00D015C4" w:rsidRDefault="00D57CC5"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After the pronouncement of the said decision, </w:t>
      </w:r>
      <w:r w:rsidR="009D4B9F" w:rsidRPr="00D015C4">
        <w:rPr>
          <w:rFonts w:ascii="Bookman Old Style" w:hAnsi="Bookman Old Style"/>
          <w:sz w:val="24"/>
          <w:szCs w:val="24"/>
        </w:rPr>
        <w:t>TSPs challenged the demands raised by the</w:t>
      </w:r>
      <w:r w:rsidR="000F188A" w:rsidRPr="00D015C4">
        <w:rPr>
          <w:rFonts w:ascii="Bookman Old Style" w:hAnsi="Bookman Old Style"/>
          <w:sz w:val="24"/>
          <w:szCs w:val="24"/>
        </w:rPr>
        <w:t xml:space="preserve"> Department of Telecommunications</w:t>
      </w:r>
      <w:r w:rsidR="009D4B9F" w:rsidRPr="00D015C4">
        <w:rPr>
          <w:rFonts w:ascii="Bookman Old Style" w:hAnsi="Bookman Old Style"/>
          <w:sz w:val="24"/>
          <w:szCs w:val="24"/>
        </w:rPr>
        <w:t xml:space="preserve"> </w:t>
      </w:r>
      <w:r w:rsidR="000F188A" w:rsidRPr="00D015C4">
        <w:rPr>
          <w:rFonts w:ascii="Bookman Old Style" w:hAnsi="Bookman Old Style"/>
          <w:sz w:val="24"/>
          <w:szCs w:val="24"/>
        </w:rPr>
        <w:t>(</w:t>
      </w:r>
      <w:r w:rsidR="009D4B9F" w:rsidRPr="00D015C4">
        <w:rPr>
          <w:rFonts w:ascii="Bookman Old Style" w:hAnsi="Bookman Old Style"/>
          <w:sz w:val="24"/>
          <w:szCs w:val="24"/>
        </w:rPr>
        <w:t>DoT</w:t>
      </w:r>
      <w:r w:rsidR="000F188A" w:rsidRPr="00D015C4">
        <w:rPr>
          <w:rFonts w:ascii="Bookman Old Style" w:hAnsi="Bookman Old Style"/>
          <w:sz w:val="24"/>
          <w:szCs w:val="24"/>
        </w:rPr>
        <w:t>)</w:t>
      </w:r>
      <w:r w:rsidR="009D4B9F" w:rsidRPr="00D015C4">
        <w:rPr>
          <w:rFonts w:ascii="Bookman Old Style" w:hAnsi="Bookman Old Style"/>
          <w:sz w:val="24"/>
          <w:szCs w:val="24"/>
        </w:rPr>
        <w:t xml:space="preserve"> before </w:t>
      </w:r>
      <w:r w:rsidR="009D4B9F" w:rsidRPr="00D015C4">
        <w:rPr>
          <w:rFonts w:ascii="Bookman Old Style" w:hAnsi="Bookman Old Style"/>
          <w:sz w:val="24"/>
          <w:szCs w:val="24"/>
        </w:rPr>
        <w:lastRenderedPageBreak/>
        <w:t xml:space="preserve">the TDSAT, on the basis of the interpretation of AGR under the concerned license agreements. Vide final order and judgment dated 23.04.2015, the TDSAT held that the revenue from non-licensed activities would fall within the definition of AGR </w:t>
      </w:r>
      <w:r w:rsidR="001D14AC" w:rsidRPr="00D015C4">
        <w:rPr>
          <w:rFonts w:ascii="Bookman Old Style" w:hAnsi="Bookman Old Style"/>
          <w:sz w:val="24"/>
          <w:szCs w:val="24"/>
        </w:rPr>
        <w:t>but</w:t>
      </w:r>
      <w:r w:rsidR="009D4B9F" w:rsidRPr="00D015C4">
        <w:rPr>
          <w:rFonts w:ascii="Bookman Old Style" w:hAnsi="Bookman Old Style"/>
          <w:sz w:val="24"/>
          <w:szCs w:val="24"/>
        </w:rPr>
        <w:t xml:space="preserve"> excluded certain specified heads of revenue such as foreign exchange gains, insurance claims, etc. from the definition of AGR. </w:t>
      </w:r>
    </w:p>
    <w:p w14:paraId="60535DCC" w14:textId="0E0EEB94" w:rsidR="00713E6B" w:rsidRPr="00D015C4" w:rsidRDefault="009D4B9F"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The</w:t>
      </w:r>
      <w:r w:rsidR="00D57CC5" w:rsidRPr="00D015C4">
        <w:rPr>
          <w:rFonts w:ascii="Bookman Old Style" w:hAnsi="Bookman Old Style"/>
          <w:sz w:val="24"/>
          <w:szCs w:val="24"/>
        </w:rPr>
        <w:t xml:space="preserve"> said</w:t>
      </w:r>
      <w:r w:rsidRPr="00D015C4">
        <w:rPr>
          <w:rFonts w:ascii="Bookman Old Style" w:hAnsi="Bookman Old Style"/>
          <w:sz w:val="24"/>
          <w:szCs w:val="24"/>
        </w:rPr>
        <w:t xml:space="preserve"> judgement dated 23.04.2015 </w:t>
      </w:r>
      <w:r w:rsidR="00D57CC5" w:rsidRPr="00D015C4">
        <w:rPr>
          <w:rFonts w:ascii="Bookman Old Style" w:hAnsi="Bookman Old Style"/>
          <w:sz w:val="24"/>
          <w:szCs w:val="24"/>
        </w:rPr>
        <w:t xml:space="preserve">became the subject matter of </w:t>
      </w:r>
      <w:r w:rsidRPr="00D015C4">
        <w:rPr>
          <w:rFonts w:ascii="Bookman Old Style" w:hAnsi="Bookman Old Style"/>
          <w:sz w:val="24"/>
          <w:szCs w:val="24"/>
        </w:rPr>
        <w:t>challenge</w:t>
      </w:r>
      <w:r w:rsidR="00D57CC5" w:rsidRPr="00D015C4">
        <w:rPr>
          <w:rFonts w:ascii="Bookman Old Style" w:hAnsi="Bookman Old Style"/>
          <w:sz w:val="24"/>
          <w:szCs w:val="24"/>
        </w:rPr>
        <w:t xml:space="preserve"> </w:t>
      </w:r>
      <w:r w:rsidR="00532104" w:rsidRPr="00D015C4">
        <w:rPr>
          <w:rFonts w:ascii="Bookman Old Style" w:hAnsi="Bookman Old Style"/>
          <w:sz w:val="24"/>
          <w:szCs w:val="24"/>
        </w:rPr>
        <w:t>before the Supreme Court</w:t>
      </w:r>
      <w:r w:rsidRPr="00D015C4">
        <w:rPr>
          <w:rFonts w:ascii="Bookman Old Style" w:hAnsi="Bookman Old Style"/>
          <w:sz w:val="24"/>
          <w:szCs w:val="24"/>
        </w:rPr>
        <w:t xml:space="preserve"> in </w:t>
      </w:r>
      <w:r w:rsidRPr="00D015C4">
        <w:rPr>
          <w:rFonts w:ascii="Bookman Old Style" w:hAnsi="Bookman Old Style"/>
          <w:b/>
          <w:i/>
          <w:sz w:val="24"/>
          <w:szCs w:val="24"/>
        </w:rPr>
        <w:t xml:space="preserve">Union of India v. Association of Unified Telecom Service Providers of India &amp; </w:t>
      </w:r>
      <w:proofErr w:type="spellStart"/>
      <w:r w:rsidRPr="00D015C4">
        <w:rPr>
          <w:rFonts w:ascii="Bookman Old Style" w:hAnsi="Bookman Old Style"/>
          <w:b/>
          <w:i/>
          <w:sz w:val="24"/>
          <w:szCs w:val="24"/>
        </w:rPr>
        <w:t>Ors</w:t>
      </w:r>
      <w:proofErr w:type="spellEnd"/>
      <w:r w:rsidRPr="00D015C4">
        <w:rPr>
          <w:rFonts w:ascii="Bookman Old Style" w:hAnsi="Bookman Old Style"/>
          <w:b/>
          <w:i/>
          <w:sz w:val="24"/>
          <w:szCs w:val="24"/>
        </w:rPr>
        <w:t>.</w:t>
      </w:r>
      <w:r w:rsidRPr="00D015C4">
        <w:rPr>
          <w:rStyle w:val="FootnoteReference"/>
          <w:rFonts w:ascii="Bookman Old Style" w:hAnsi="Bookman Old Style"/>
          <w:b/>
          <w:i/>
          <w:sz w:val="24"/>
          <w:szCs w:val="24"/>
        </w:rPr>
        <w:footnoteReference w:id="2"/>
      </w:r>
      <w:r w:rsidRPr="00D015C4">
        <w:rPr>
          <w:rFonts w:ascii="Bookman Old Style" w:hAnsi="Bookman Old Style"/>
          <w:sz w:val="24"/>
          <w:szCs w:val="24"/>
        </w:rPr>
        <w:t xml:space="preserve"> </w:t>
      </w:r>
      <w:r w:rsidR="005D5678" w:rsidRPr="00D015C4">
        <w:rPr>
          <w:rFonts w:ascii="Bookman Old Style" w:hAnsi="Bookman Old Style"/>
          <w:sz w:val="24"/>
          <w:szCs w:val="24"/>
        </w:rPr>
        <w:t xml:space="preserve"> </w:t>
      </w:r>
      <w:r w:rsidR="00713E6B" w:rsidRPr="00D015C4">
        <w:rPr>
          <w:rFonts w:ascii="Bookman Old Style" w:hAnsi="Bookman Old Style"/>
          <w:sz w:val="24"/>
          <w:szCs w:val="24"/>
        </w:rPr>
        <w:t xml:space="preserve">Wherein the Court, quoted with approval the decision in </w:t>
      </w:r>
      <w:r w:rsidR="00713E6B" w:rsidRPr="00D015C4">
        <w:rPr>
          <w:rFonts w:ascii="Bookman Old Style" w:hAnsi="Bookman Old Style"/>
          <w:b/>
          <w:i/>
          <w:sz w:val="24"/>
          <w:szCs w:val="24"/>
        </w:rPr>
        <w:t xml:space="preserve">Association of Unified Telecom Service Providers of India </w:t>
      </w:r>
      <w:r w:rsidR="00713E6B" w:rsidRPr="00D015C4">
        <w:rPr>
          <w:rFonts w:ascii="Bookman Old Style" w:hAnsi="Bookman Old Style"/>
          <w:bCs/>
          <w:iCs/>
          <w:sz w:val="24"/>
          <w:szCs w:val="24"/>
        </w:rPr>
        <w:t>(supra),</w:t>
      </w:r>
      <w:r w:rsidR="00713E6B" w:rsidRPr="00D015C4">
        <w:rPr>
          <w:rFonts w:ascii="Bookman Old Style" w:hAnsi="Bookman Old Style"/>
          <w:sz w:val="24"/>
          <w:szCs w:val="24"/>
        </w:rPr>
        <w:t xml:space="preserve"> wherein it was observed </w:t>
      </w:r>
      <w:r w:rsidR="00277872" w:rsidRPr="00D015C4">
        <w:rPr>
          <w:rFonts w:ascii="Bookman Old Style" w:hAnsi="Bookman Old Style"/>
          <w:sz w:val="24"/>
          <w:szCs w:val="24"/>
        </w:rPr>
        <w:t>thus</w:t>
      </w:r>
      <w:r w:rsidR="00713E6B" w:rsidRPr="00D015C4">
        <w:rPr>
          <w:rFonts w:ascii="Bookman Old Style" w:hAnsi="Bookman Old Style"/>
          <w:sz w:val="24"/>
          <w:szCs w:val="24"/>
        </w:rPr>
        <w:t>:</w:t>
      </w:r>
    </w:p>
    <w:p w14:paraId="7942341F" w14:textId="77777777" w:rsidR="00713E6B" w:rsidRPr="00D015C4" w:rsidRDefault="00713E6B" w:rsidP="00690E46">
      <w:pPr>
        <w:pStyle w:val="ListParagraph"/>
        <w:spacing w:after="200" w:line="240" w:lineRule="auto"/>
        <w:ind w:left="851" w:right="851"/>
        <w:contextualSpacing w:val="0"/>
        <w:jc w:val="both"/>
        <w:rPr>
          <w:rFonts w:ascii="Bookman Old Style" w:hAnsi="Bookman Old Style"/>
          <w:iCs/>
          <w:sz w:val="24"/>
          <w:szCs w:val="24"/>
          <w:lang w:val="en-IN"/>
        </w:rPr>
      </w:pPr>
      <w:r w:rsidRPr="00D015C4">
        <w:rPr>
          <w:rFonts w:ascii="Bookman Old Style" w:hAnsi="Bookman Old Style"/>
          <w:iCs/>
          <w:sz w:val="24"/>
          <w:szCs w:val="24"/>
          <w:lang w:val="en-IN"/>
        </w:rPr>
        <w:t xml:space="preserve">“34……… If the wide definition of Adjusted Gross Revenue so as to include revenue beyond the license was in any way going to affect the licensee, it was open for the licensees not to undertake activities for which they do not require license under clause (4) of the </w:t>
      </w:r>
      <w:hyperlink r:id="rId9" w:history="1">
        <w:r w:rsidRPr="00D015C4">
          <w:rPr>
            <w:rFonts w:ascii="Bookman Old Style" w:hAnsi="Bookman Old Style"/>
            <w:iCs/>
            <w:sz w:val="24"/>
            <w:szCs w:val="24"/>
            <w:lang w:val="en-IN"/>
          </w:rPr>
          <w:t>Telegraph Act</w:t>
        </w:r>
      </w:hyperlink>
      <w:r w:rsidRPr="00D015C4">
        <w:rPr>
          <w:rFonts w:ascii="Bookman Old Style" w:hAnsi="Bookman Old Style"/>
          <w:iCs/>
          <w:sz w:val="24"/>
          <w:szCs w:val="24"/>
          <w:lang w:val="en-IN"/>
        </w:rPr>
        <w:t xml:space="preserve"> and transfer these activities to any other person or firm or company.”</w:t>
      </w:r>
    </w:p>
    <w:p w14:paraId="32DE3431" w14:textId="19C9BA16" w:rsidR="009D4B9F" w:rsidRPr="00D015C4" w:rsidRDefault="00FE2388" w:rsidP="00690E46">
      <w:pPr>
        <w:pStyle w:val="ListParagraph"/>
        <w:numPr>
          <w:ilvl w:val="0"/>
          <w:numId w:val="2"/>
        </w:numPr>
        <w:spacing w:after="200" w:line="480" w:lineRule="auto"/>
        <w:contextualSpacing w:val="0"/>
        <w:jc w:val="both"/>
        <w:rPr>
          <w:rFonts w:ascii="Bookman Old Style" w:hAnsi="Bookman Old Style"/>
          <w:i/>
          <w:sz w:val="24"/>
          <w:szCs w:val="24"/>
          <w:lang w:val="en-IN"/>
        </w:rPr>
      </w:pPr>
      <w:r w:rsidRPr="00D015C4">
        <w:rPr>
          <w:rFonts w:ascii="Bookman Old Style" w:hAnsi="Bookman Old Style"/>
          <w:sz w:val="24"/>
          <w:szCs w:val="24"/>
        </w:rPr>
        <w:t xml:space="preserve">After so quoting, the Court allowed the appeals </w:t>
      </w:r>
      <w:r w:rsidR="009D4B9F" w:rsidRPr="00D015C4">
        <w:rPr>
          <w:rFonts w:ascii="Bookman Old Style" w:hAnsi="Bookman Old Style"/>
          <w:sz w:val="24"/>
          <w:szCs w:val="24"/>
        </w:rPr>
        <w:t>preferred by the DoT and dismissed the appeals filed by the TSPs</w:t>
      </w:r>
      <w:r w:rsidRPr="00D015C4">
        <w:rPr>
          <w:rFonts w:ascii="Bookman Old Style" w:hAnsi="Bookman Old Style"/>
          <w:sz w:val="24"/>
          <w:szCs w:val="24"/>
        </w:rPr>
        <w:t xml:space="preserve"> </w:t>
      </w:r>
      <w:r w:rsidR="00B81D2B" w:rsidRPr="00D015C4">
        <w:rPr>
          <w:rFonts w:ascii="Bookman Old Style" w:hAnsi="Bookman Old Style"/>
          <w:sz w:val="24"/>
          <w:szCs w:val="24"/>
        </w:rPr>
        <w:t>and held</w:t>
      </w:r>
      <w:r w:rsidR="009D4B9F" w:rsidRPr="00D015C4">
        <w:rPr>
          <w:rFonts w:ascii="Bookman Old Style" w:hAnsi="Bookman Old Style"/>
          <w:sz w:val="24"/>
          <w:szCs w:val="24"/>
        </w:rPr>
        <w:t xml:space="preserve"> that the definition of AGR includes the revenue from activities beyond the license. The Court upheld the demands of the DoT except on certain heads of revenue such as call charges paid to other eligible TSPs, roaming revenues passed on to other TSPs, etc. </w:t>
      </w:r>
      <w:r w:rsidR="002A70F7" w:rsidRPr="00D015C4">
        <w:rPr>
          <w:rFonts w:ascii="Bookman Old Style" w:hAnsi="Bookman Old Style"/>
          <w:sz w:val="24"/>
          <w:szCs w:val="24"/>
        </w:rPr>
        <w:t>Quite apart from t</w:t>
      </w:r>
      <w:r w:rsidR="009D4B9F" w:rsidRPr="00D015C4">
        <w:rPr>
          <w:rFonts w:ascii="Bookman Old Style" w:hAnsi="Bookman Old Style"/>
          <w:sz w:val="24"/>
          <w:szCs w:val="24"/>
        </w:rPr>
        <w:t>hat</w:t>
      </w:r>
      <w:r w:rsidR="002A70F7" w:rsidRPr="00D015C4">
        <w:rPr>
          <w:rFonts w:ascii="Bookman Old Style" w:hAnsi="Bookman Old Style"/>
          <w:sz w:val="24"/>
          <w:szCs w:val="24"/>
        </w:rPr>
        <w:t xml:space="preserve">, </w:t>
      </w:r>
      <w:r w:rsidR="009D4B9F" w:rsidRPr="00D015C4">
        <w:rPr>
          <w:rFonts w:ascii="Bookman Old Style" w:hAnsi="Bookman Old Style"/>
          <w:sz w:val="24"/>
          <w:szCs w:val="24"/>
        </w:rPr>
        <w:t>the Court upheld the demand for interest on the license fees outstanding, the penalty and the interest on the penalty sought to be levied by the DoT</w:t>
      </w:r>
      <w:r w:rsidR="006808BD" w:rsidRPr="00D015C4">
        <w:rPr>
          <w:rFonts w:ascii="Bookman Old Style" w:hAnsi="Bookman Old Style"/>
          <w:sz w:val="24"/>
          <w:szCs w:val="24"/>
        </w:rPr>
        <w:t xml:space="preserve"> by ruling thus</w:t>
      </w:r>
      <w:r w:rsidR="009D4B9F" w:rsidRPr="00D015C4">
        <w:rPr>
          <w:rFonts w:ascii="Bookman Old Style" w:hAnsi="Bookman Old Style"/>
          <w:sz w:val="24"/>
          <w:szCs w:val="24"/>
        </w:rPr>
        <w:t>:</w:t>
      </w:r>
    </w:p>
    <w:p w14:paraId="4B826E10" w14:textId="6B2AB9EF" w:rsidR="002A70F7" w:rsidRPr="00D015C4" w:rsidRDefault="002A70F7" w:rsidP="00690E46">
      <w:pPr>
        <w:pStyle w:val="ListParagraph"/>
        <w:spacing w:after="200" w:line="240" w:lineRule="auto"/>
        <w:ind w:left="851" w:right="851"/>
        <w:contextualSpacing w:val="0"/>
        <w:jc w:val="both"/>
        <w:rPr>
          <w:rFonts w:ascii="Bookman Old Style" w:hAnsi="Bookman Old Style"/>
          <w:iCs/>
          <w:sz w:val="24"/>
          <w:szCs w:val="24"/>
          <w:lang w:val="en-IN"/>
        </w:rPr>
      </w:pPr>
      <w:r w:rsidRPr="00D015C4">
        <w:rPr>
          <w:rFonts w:ascii="Bookman Old Style" w:hAnsi="Bookman Old Style"/>
          <w:iCs/>
          <w:sz w:val="24"/>
          <w:szCs w:val="24"/>
          <w:lang w:val="en-IN"/>
        </w:rPr>
        <w:lastRenderedPageBreak/>
        <w:t>“188…..</w:t>
      </w:r>
      <w:r w:rsidRPr="00D015C4">
        <w:rPr>
          <w:rFonts w:ascii="Bookman Old Style" w:hAnsi="Bookman Old Style"/>
          <w:iCs/>
          <w:sz w:val="24"/>
          <w:szCs w:val="24"/>
          <w:u w:val="single"/>
          <w:lang w:val="en-IN"/>
        </w:rPr>
        <w:t>The demand was raised for the first time in the year 2003 despite the fact that the definition of gross revenue was clear, and as is apparent from the correspondence and the agreement reached between the parties, there was no doubt what constitutes gross revenue. Licensees were aware that these items concerning which they have raised the dispute were included in the definition of gross revenue, as such, they had initially questioned inclusion on the basis of the validity of the definition of gross revenue. The challenge was found to be sans any basis by this Court. The objections raised concerning the   validity   of   the   gross revenue, were wholly unsustainable and on the face of it, were liable to be rejected, and came to be rejected finally and conclusively by this Court in the year 2011.</w:t>
      </w:r>
      <w:r w:rsidRPr="00D015C4">
        <w:rPr>
          <w:rFonts w:ascii="Bookman Old Style" w:hAnsi="Bookman Old Style"/>
          <w:iCs/>
          <w:sz w:val="24"/>
          <w:szCs w:val="24"/>
          <w:lang w:val="en-IN"/>
        </w:rPr>
        <w:t xml:space="preserve"> After that, again the objections have been repeated to exclude those very revenue items which were held to be included once over an effort has been made to get rid of the definition of gross revenue. The objections which have been raised pertained to the definition of gross revenue for which the court held they are part of revenue. Now, relying upon AS­9 standards, an attempt has been made by an indirect method for excluding items, which are expressly included in the definition of gross revenue. </w:t>
      </w:r>
      <w:r w:rsidRPr="00D015C4">
        <w:rPr>
          <w:rFonts w:ascii="Bookman Old Style" w:hAnsi="Bookman Old Style"/>
          <w:iCs/>
          <w:sz w:val="24"/>
          <w:szCs w:val="24"/>
          <w:u w:val="single"/>
          <w:lang w:val="en-IN"/>
        </w:rPr>
        <w:t>Objections are too tenuous, and, as a matter of fact, there was no scope to raise such objections in 2003 itself. Because of the various correspondence which has been referred, it becomes apparent that all these heads are included in the definition   of   gross   revenue, and   there   is   no   justification   for   the licensees to raise the objections and to keep them pending for over two decades</w:t>
      </w:r>
      <w:r w:rsidRPr="00D015C4">
        <w:rPr>
          <w:rFonts w:ascii="Bookman Old Style" w:hAnsi="Bookman Old Style"/>
          <w:iCs/>
          <w:sz w:val="24"/>
          <w:szCs w:val="24"/>
          <w:lang w:val="en-IN"/>
        </w:rPr>
        <w:t>.</w:t>
      </w:r>
    </w:p>
    <w:p w14:paraId="7368D439" w14:textId="45A13F5E" w:rsidR="00182CEC" w:rsidRPr="00D015C4" w:rsidRDefault="002A70F7" w:rsidP="00690E46">
      <w:pPr>
        <w:spacing w:after="200" w:line="240" w:lineRule="auto"/>
        <w:ind w:left="851" w:right="851"/>
        <w:jc w:val="both"/>
        <w:rPr>
          <w:rFonts w:ascii="Bookman Old Style" w:hAnsi="Bookman Old Style"/>
          <w:iCs/>
          <w:sz w:val="24"/>
          <w:szCs w:val="24"/>
          <w:u w:val="single"/>
          <w:lang w:val="en-IN"/>
        </w:rPr>
      </w:pPr>
      <w:r w:rsidRPr="00D015C4">
        <w:rPr>
          <w:rFonts w:ascii="Bookman Old Style" w:hAnsi="Bookman Old Style"/>
          <w:iCs/>
          <w:sz w:val="24"/>
          <w:szCs w:val="24"/>
          <w:lang w:val="en-IN"/>
        </w:rPr>
        <w:t xml:space="preserve">189. </w:t>
      </w:r>
      <w:r w:rsidR="00C77AA9">
        <w:rPr>
          <w:rFonts w:ascii="Bookman Old Style" w:hAnsi="Bookman Old Style"/>
          <w:iCs/>
          <w:sz w:val="24"/>
          <w:szCs w:val="24"/>
          <w:lang w:val="en-IN"/>
        </w:rPr>
        <w:t>…</w:t>
      </w:r>
      <w:r w:rsidRPr="00D015C4">
        <w:rPr>
          <w:rFonts w:ascii="Bookman Old Style" w:hAnsi="Bookman Old Style"/>
          <w:iCs/>
          <w:sz w:val="24"/>
          <w:szCs w:val="24"/>
          <w:lang w:val="en-IN"/>
        </w:rPr>
        <w:t xml:space="preserve">. </w:t>
      </w:r>
      <w:r w:rsidRPr="00D015C4">
        <w:rPr>
          <w:rFonts w:ascii="Bookman Old Style" w:hAnsi="Bookman Old Style"/>
          <w:iCs/>
          <w:sz w:val="24"/>
          <w:szCs w:val="24"/>
          <w:u w:val="single"/>
          <w:lang w:val="en-IN"/>
        </w:rPr>
        <w:t>Demand had been raised way­back in the year</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2003, which   is   ultimately   the   subject­matter   of   the   lis.   As   the</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objections are baseless and wholly untenable, it cannot be said that</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there was a bona fide dispute concerning various items. The disputes</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raised could not be termed to be bona fide at all. They were justified in</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order to delay the liability and the payment in accordance with the</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agreement. In this backdrop and what has been held by us, we have to</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consider whether the interest, penalty, and interest on penalty can be</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levied or not. Particularly since it is the revenue sharing regime and</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the Government has been deprived of the benefit of revenue which it</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would have earned but for granting the privilege which it has parted</w:t>
      </w:r>
      <w:r w:rsidR="005F0680"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with in favour of the licensees.</w:t>
      </w:r>
    </w:p>
    <w:p w14:paraId="18DA2394" w14:textId="7D624510" w:rsidR="00151375" w:rsidRPr="00D015C4" w:rsidRDefault="00F303E5" w:rsidP="00690E46">
      <w:pPr>
        <w:pStyle w:val="ListParagraph"/>
        <w:spacing w:after="200" w:line="240" w:lineRule="auto"/>
        <w:ind w:left="851" w:right="851"/>
        <w:contextualSpacing w:val="0"/>
        <w:jc w:val="right"/>
        <w:rPr>
          <w:rFonts w:ascii="Bookman Old Style" w:hAnsi="Bookman Old Style"/>
          <w:iCs/>
          <w:sz w:val="24"/>
          <w:szCs w:val="24"/>
          <w:u w:val="single"/>
        </w:rPr>
      </w:pPr>
      <w:r w:rsidRPr="00D015C4">
        <w:rPr>
          <w:rFonts w:ascii="Bookman Old Style" w:hAnsi="Bookman Old Style"/>
          <w:iCs/>
          <w:sz w:val="24"/>
          <w:szCs w:val="24"/>
          <w:lang w:val="en-IN"/>
        </w:rPr>
        <w:t>[Emphasis Added]</w:t>
      </w:r>
    </w:p>
    <w:p w14:paraId="163BA2AD" w14:textId="1B6B459A" w:rsidR="005F0680" w:rsidRPr="00D015C4" w:rsidRDefault="005F0680" w:rsidP="00690E46">
      <w:pPr>
        <w:pStyle w:val="ListParagraph"/>
        <w:numPr>
          <w:ilvl w:val="0"/>
          <w:numId w:val="2"/>
        </w:numPr>
        <w:spacing w:after="200" w:line="480" w:lineRule="auto"/>
        <w:contextualSpacing w:val="0"/>
        <w:jc w:val="both"/>
        <w:rPr>
          <w:rFonts w:ascii="Bookman Old Style" w:hAnsi="Bookman Old Style"/>
          <w:b/>
          <w:bCs/>
          <w:sz w:val="24"/>
          <w:szCs w:val="24"/>
        </w:rPr>
      </w:pPr>
      <w:r w:rsidRPr="00D015C4">
        <w:rPr>
          <w:rFonts w:ascii="Bookman Old Style" w:hAnsi="Bookman Old Style"/>
          <w:sz w:val="24"/>
          <w:szCs w:val="24"/>
        </w:rPr>
        <w:t xml:space="preserve">Thereafter the Court placed reliance </w:t>
      </w:r>
      <w:r w:rsidR="008D1622" w:rsidRPr="00D015C4">
        <w:rPr>
          <w:rFonts w:ascii="Bookman Old Style" w:hAnsi="Bookman Old Style"/>
          <w:sz w:val="24"/>
          <w:szCs w:val="24"/>
        </w:rPr>
        <w:t>upon the decision in</w:t>
      </w:r>
      <w:r w:rsidRPr="00D015C4">
        <w:rPr>
          <w:rFonts w:ascii="Bookman Old Style" w:hAnsi="Bookman Old Style"/>
          <w:sz w:val="24"/>
          <w:szCs w:val="24"/>
        </w:rPr>
        <w:t xml:space="preserve"> </w:t>
      </w:r>
      <w:r w:rsidRPr="00C77AA9">
        <w:rPr>
          <w:rFonts w:ascii="Bookman Old Style" w:hAnsi="Bookman Old Style"/>
          <w:b/>
          <w:bCs/>
          <w:i/>
          <w:sz w:val="24"/>
          <w:szCs w:val="24"/>
        </w:rPr>
        <w:t>M/s. Everest</w:t>
      </w:r>
      <w:r w:rsidRPr="00D015C4">
        <w:rPr>
          <w:rFonts w:ascii="Bookman Old Style" w:hAnsi="Bookman Old Style"/>
          <w:b/>
          <w:bCs/>
          <w:i/>
          <w:iCs/>
          <w:sz w:val="24"/>
          <w:szCs w:val="24"/>
        </w:rPr>
        <w:t xml:space="preserve"> Industrial Corporation &amp; </w:t>
      </w:r>
      <w:proofErr w:type="spellStart"/>
      <w:r w:rsidRPr="00D015C4">
        <w:rPr>
          <w:rFonts w:ascii="Bookman Old Style" w:hAnsi="Bookman Old Style"/>
          <w:b/>
          <w:bCs/>
          <w:i/>
          <w:iCs/>
          <w:sz w:val="24"/>
          <w:szCs w:val="24"/>
        </w:rPr>
        <w:t>Ors</w:t>
      </w:r>
      <w:proofErr w:type="spellEnd"/>
      <w:r w:rsidRPr="00D015C4">
        <w:rPr>
          <w:rFonts w:ascii="Bookman Old Style" w:hAnsi="Bookman Old Style"/>
          <w:b/>
          <w:bCs/>
          <w:i/>
          <w:iCs/>
          <w:sz w:val="24"/>
          <w:szCs w:val="24"/>
        </w:rPr>
        <w:t xml:space="preserve">. v. Gujarat State Financial </w:t>
      </w:r>
      <w:r w:rsidRPr="00D015C4">
        <w:rPr>
          <w:rFonts w:ascii="Bookman Old Style" w:hAnsi="Bookman Old Style"/>
          <w:b/>
          <w:bCs/>
          <w:i/>
          <w:iCs/>
          <w:sz w:val="24"/>
          <w:szCs w:val="24"/>
        </w:rPr>
        <w:lastRenderedPageBreak/>
        <w:t>Corporation</w:t>
      </w:r>
      <w:r w:rsidRPr="00D015C4">
        <w:rPr>
          <w:rStyle w:val="FootnoteReference"/>
          <w:rFonts w:ascii="Bookman Old Style" w:hAnsi="Bookman Old Style"/>
          <w:b/>
          <w:bCs/>
          <w:i/>
          <w:iCs/>
          <w:sz w:val="24"/>
          <w:szCs w:val="24"/>
        </w:rPr>
        <w:footnoteReference w:id="3"/>
      </w:r>
      <w:r w:rsidRPr="00D015C4">
        <w:rPr>
          <w:rFonts w:ascii="Bookman Old Style" w:hAnsi="Bookman Old Style"/>
          <w:b/>
          <w:bCs/>
          <w:sz w:val="24"/>
          <w:szCs w:val="24"/>
        </w:rPr>
        <w:t>,</w:t>
      </w:r>
      <w:r w:rsidRPr="00D015C4">
        <w:rPr>
          <w:rFonts w:ascii="Bookman Old Style" w:hAnsi="Bookman Old Style"/>
          <w:sz w:val="24"/>
          <w:szCs w:val="24"/>
        </w:rPr>
        <w:t xml:space="preserve"> </w:t>
      </w:r>
      <w:r w:rsidRPr="00D015C4">
        <w:rPr>
          <w:rFonts w:ascii="Bookman Old Style" w:hAnsi="Bookman Old Style"/>
          <w:b/>
          <w:bCs/>
          <w:i/>
          <w:iCs/>
          <w:sz w:val="24"/>
          <w:szCs w:val="24"/>
        </w:rPr>
        <w:t>Punjab Financial Corporation v. Surya Auto Industries</w:t>
      </w:r>
      <w:r w:rsidRPr="00D015C4">
        <w:rPr>
          <w:rStyle w:val="FootnoteReference"/>
          <w:rFonts w:ascii="Bookman Old Style" w:hAnsi="Bookman Old Style"/>
          <w:b/>
          <w:bCs/>
          <w:i/>
          <w:iCs/>
          <w:sz w:val="24"/>
          <w:szCs w:val="24"/>
        </w:rPr>
        <w:footnoteReference w:id="4"/>
      </w:r>
      <w:r w:rsidRPr="00D015C4">
        <w:rPr>
          <w:rFonts w:ascii="Bookman Old Style" w:hAnsi="Bookman Old Style"/>
          <w:sz w:val="24"/>
          <w:szCs w:val="24"/>
        </w:rPr>
        <w:t xml:space="preserve">, </w:t>
      </w:r>
      <w:r w:rsidRPr="00D015C4">
        <w:rPr>
          <w:rFonts w:ascii="Bookman Old Style" w:hAnsi="Bookman Old Style"/>
          <w:b/>
          <w:bCs/>
          <w:i/>
          <w:iCs/>
          <w:sz w:val="24"/>
          <w:szCs w:val="24"/>
        </w:rPr>
        <w:t>Hindustan Steel Ltd. v. State of Orissa</w:t>
      </w:r>
      <w:r w:rsidRPr="00D015C4">
        <w:rPr>
          <w:rStyle w:val="FootnoteReference"/>
          <w:rFonts w:ascii="Bookman Old Style" w:hAnsi="Bookman Old Style"/>
          <w:b/>
          <w:bCs/>
          <w:i/>
          <w:iCs/>
          <w:sz w:val="24"/>
          <w:szCs w:val="24"/>
        </w:rPr>
        <w:footnoteReference w:id="5"/>
      </w:r>
      <w:r w:rsidRPr="00D015C4">
        <w:rPr>
          <w:rFonts w:ascii="Bookman Old Style" w:hAnsi="Bookman Old Style"/>
          <w:b/>
          <w:bCs/>
          <w:sz w:val="24"/>
          <w:szCs w:val="24"/>
        </w:rPr>
        <w:t xml:space="preserve">, </w:t>
      </w:r>
      <w:r w:rsidRPr="00D015C4">
        <w:rPr>
          <w:rFonts w:ascii="Bookman Old Style" w:hAnsi="Bookman Old Style"/>
          <w:b/>
          <w:bCs/>
          <w:i/>
          <w:iCs/>
          <w:sz w:val="24"/>
          <w:szCs w:val="24"/>
        </w:rPr>
        <w:t xml:space="preserve">J.K. Industries Ltd. &amp; </w:t>
      </w:r>
      <w:proofErr w:type="spellStart"/>
      <w:r w:rsidRPr="00D015C4">
        <w:rPr>
          <w:rFonts w:ascii="Bookman Old Style" w:hAnsi="Bookman Old Style"/>
          <w:b/>
          <w:bCs/>
          <w:i/>
          <w:iCs/>
          <w:sz w:val="24"/>
          <w:szCs w:val="24"/>
        </w:rPr>
        <w:t>Anr</w:t>
      </w:r>
      <w:proofErr w:type="spellEnd"/>
      <w:r w:rsidRPr="00D015C4">
        <w:rPr>
          <w:rFonts w:ascii="Bookman Old Style" w:hAnsi="Bookman Old Style"/>
          <w:b/>
          <w:bCs/>
          <w:i/>
          <w:iCs/>
          <w:sz w:val="24"/>
          <w:szCs w:val="24"/>
        </w:rPr>
        <w:t xml:space="preserve">. v. Union of India &amp; </w:t>
      </w:r>
      <w:proofErr w:type="spellStart"/>
      <w:r w:rsidRPr="00D015C4">
        <w:rPr>
          <w:rFonts w:ascii="Bookman Old Style" w:hAnsi="Bookman Old Style"/>
          <w:b/>
          <w:bCs/>
          <w:i/>
          <w:iCs/>
          <w:sz w:val="24"/>
          <w:szCs w:val="24"/>
        </w:rPr>
        <w:t>Ors</w:t>
      </w:r>
      <w:proofErr w:type="spellEnd"/>
      <w:r w:rsidR="00987CEA" w:rsidRPr="00D015C4">
        <w:rPr>
          <w:rFonts w:ascii="Cambria" w:hAnsi="Cambria"/>
          <w:b/>
          <w:bCs/>
          <w:i/>
          <w:iCs/>
          <w:sz w:val="24"/>
          <w:szCs w:val="24"/>
        </w:rPr>
        <w:t>.</w:t>
      </w:r>
      <w:r w:rsidR="00987CEA" w:rsidRPr="00D015C4">
        <w:rPr>
          <w:rStyle w:val="FootnoteReference"/>
          <w:rFonts w:ascii="Cambria" w:hAnsi="Cambria"/>
          <w:b/>
          <w:bCs/>
          <w:i/>
          <w:iCs/>
          <w:sz w:val="24"/>
          <w:szCs w:val="24"/>
        </w:rPr>
        <w:footnoteReference w:id="6"/>
      </w:r>
      <w:r w:rsidRPr="00D015C4">
        <w:rPr>
          <w:rFonts w:ascii="Bookman Old Style" w:hAnsi="Bookman Old Style"/>
          <w:sz w:val="24"/>
          <w:szCs w:val="24"/>
        </w:rPr>
        <w:t xml:space="preserve">, </w:t>
      </w:r>
      <w:r w:rsidRPr="00D015C4">
        <w:rPr>
          <w:rFonts w:ascii="Bookman Old Style" w:hAnsi="Bookman Old Style"/>
          <w:b/>
          <w:bCs/>
          <w:i/>
          <w:iCs/>
          <w:sz w:val="24"/>
          <w:szCs w:val="24"/>
        </w:rPr>
        <w:t>Tecumseh Products India Ltd</w:t>
      </w:r>
      <w:r w:rsidR="00182CEC" w:rsidRPr="00D015C4">
        <w:rPr>
          <w:rFonts w:ascii="Bookman Old Style" w:hAnsi="Bookman Old Style"/>
          <w:b/>
          <w:bCs/>
          <w:i/>
          <w:iCs/>
          <w:sz w:val="24"/>
          <w:szCs w:val="24"/>
        </w:rPr>
        <w:t xml:space="preserve"> v.</w:t>
      </w:r>
      <w:r w:rsidR="0094549F" w:rsidRPr="00D015C4">
        <w:rPr>
          <w:rFonts w:ascii="Bookman Old Style" w:hAnsi="Bookman Old Style"/>
          <w:b/>
          <w:bCs/>
          <w:i/>
          <w:iCs/>
          <w:sz w:val="24"/>
          <w:szCs w:val="24"/>
        </w:rPr>
        <w:t xml:space="preserve"> </w:t>
      </w:r>
      <w:r w:rsidR="00182CEC" w:rsidRPr="00D015C4">
        <w:rPr>
          <w:rFonts w:ascii="Bookman Old Style" w:hAnsi="Bookman Old Style"/>
          <w:b/>
          <w:bCs/>
          <w:i/>
          <w:iCs/>
          <w:sz w:val="24"/>
          <w:szCs w:val="24"/>
        </w:rPr>
        <w:t>Commissioner of</w:t>
      </w:r>
      <w:r w:rsidR="0094549F" w:rsidRPr="00D015C4">
        <w:rPr>
          <w:rFonts w:ascii="Bookman Old Style" w:hAnsi="Bookman Old Style"/>
          <w:b/>
          <w:bCs/>
          <w:i/>
          <w:iCs/>
          <w:sz w:val="24"/>
          <w:szCs w:val="24"/>
        </w:rPr>
        <w:t xml:space="preserve"> </w:t>
      </w:r>
      <w:r w:rsidR="00182CEC" w:rsidRPr="00D015C4">
        <w:rPr>
          <w:rFonts w:ascii="Bookman Old Style" w:hAnsi="Bookman Old Style"/>
          <w:b/>
          <w:bCs/>
          <w:i/>
          <w:iCs/>
          <w:sz w:val="24"/>
          <w:szCs w:val="24"/>
        </w:rPr>
        <w:t>Central Excise,</w:t>
      </w:r>
      <w:r w:rsidR="00151375" w:rsidRPr="00D015C4">
        <w:rPr>
          <w:rFonts w:ascii="Bookman Old Style" w:hAnsi="Bookman Old Style"/>
          <w:b/>
          <w:bCs/>
          <w:i/>
          <w:iCs/>
          <w:sz w:val="24"/>
          <w:szCs w:val="24"/>
        </w:rPr>
        <w:t xml:space="preserve"> </w:t>
      </w:r>
      <w:r w:rsidR="00182CEC" w:rsidRPr="00D015C4">
        <w:rPr>
          <w:rFonts w:ascii="Bookman Old Style" w:hAnsi="Bookman Old Style"/>
          <w:b/>
          <w:bCs/>
          <w:i/>
          <w:iCs/>
          <w:sz w:val="24"/>
          <w:szCs w:val="24"/>
        </w:rPr>
        <w:t>Hyderabad</w:t>
      </w:r>
      <w:r w:rsidR="00426071" w:rsidRPr="00D015C4">
        <w:rPr>
          <w:rFonts w:ascii="Bookman Old Style" w:hAnsi="Bookman Old Style"/>
          <w:b/>
          <w:bCs/>
          <w:i/>
          <w:iCs/>
          <w:sz w:val="24"/>
          <w:szCs w:val="24"/>
        </w:rPr>
        <w:t xml:space="preserve"> </w:t>
      </w:r>
      <w:r w:rsidR="00182CEC" w:rsidRPr="00D015C4">
        <w:rPr>
          <w:rStyle w:val="FootnoteReference"/>
          <w:rFonts w:ascii="Bookman Old Style" w:hAnsi="Bookman Old Style"/>
          <w:b/>
          <w:bCs/>
          <w:sz w:val="24"/>
          <w:szCs w:val="24"/>
        </w:rPr>
        <w:footnoteReference w:id="7"/>
      </w:r>
      <w:r w:rsidR="00182CEC" w:rsidRPr="00D015C4">
        <w:rPr>
          <w:rFonts w:ascii="Bookman Old Style" w:hAnsi="Bookman Old Style"/>
          <w:b/>
          <w:bCs/>
          <w:sz w:val="24"/>
          <w:szCs w:val="24"/>
        </w:rPr>
        <w:t xml:space="preserve"> </w:t>
      </w:r>
      <w:r w:rsidR="00182CEC" w:rsidRPr="00D015C4">
        <w:rPr>
          <w:rFonts w:ascii="Bookman Old Style" w:hAnsi="Bookman Old Style"/>
          <w:sz w:val="24"/>
          <w:szCs w:val="24"/>
        </w:rPr>
        <w:t xml:space="preserve">and </w:t>
      </w:r>
      <w:r w:rsidR="00182CEC" w:rsidRPr="00D015C4">
        <w:rPr>
          <w:rFonts w:ascii="Bookman Old Style" w:hAnsi="Bookman Old Style"/>
          <w:b/>
          <w:bCs/>
          <w:i/>
          <w:iCs/>
          <w:sz w:val="24"/>
          <w:szCs w:val="24"/>
        </w:rPr>
        <w:t>Central Bank</w:t>
      </w:r>
      <w:r w:rsidR="0094549F" w:rsidRPr="00D015C4">
        <w:rPr>
          <w:rFonts w:ascii="Bookman Old Style" w:hAnsi="Bookman Old Style"/>
          <w:b/>
          <w:bCs/>
          <w:i/>
          <w:iCs/>
          <w:sz w:val="24"/>
          <w:szCs w:val="24"/>
        </w:rPr>
        <w:t xml:space="preserve"> </w:t>
      </w:r>
      <w:r w:rsidR="00182CEC" w:rsidRPr="00D015C4">
        <w:rPr>
          <w:rFonts w:ascii="Bookman Old Style" w:hAnsi="Bookman Old Style"/>
          <w:b/>
          <w:bCs/>
          <w:i/>
          <w:iCs/>
          <w:sz w:val="24"/>
          <w:szCs w:val="24"/>
        </w:rPr>
        <w:t xml:space="preserve">of India v. </w:t>
      </w:r>
      <w:proofErr w:type="spellStart"/>
      <w:r w:rsidR="00182CEC" w:rsidRPr="00D015C4">
        <w:rPr>
          <w:rFonts w:ascii="Bookman Old Style" w:hAnsi="Bookman Old Style"/>
          <w:b/>
          <w:bCs/>
          <w:i/>
          <w:iCs/>
          <w:sz w:val="24"/>
          <w:szCs w:val="24"/>
        </w:rPr>
        <w:t>Ravindra</w:t>
      </w:r>
      <w:proofErr w:type="spellEnd"/>
      <w:r w:rsidR="0094549F" w:rsidRPr="00D015C4">
        <w:rPr>
          <w:rFonts w:ascii="Bookman Old Style" w:hAnsi="Bookman Old Style"/>
          <w:b/>
          <w:bCs/>
          <w:i/>
          <w:iCs/>
          <w:sz w:val="24"/>
          <w:szCs w:val="24"/>
        </w:rPr>
        <w:t xml:space="preserve"> </w:t>
      </w:r>
      <w:r w:rsidR="00182CEC" w:rsidRPr="00D015C4">
        <w:rPr>
          <w:rFonts w:ascii="Bookman Old Style" w:hAnsi="Bookman Old Style"/>
          <w:b/>
          <w:bCs/>
          <w:i/>
          <w:iCs/>
          <w:sz w:val="24"/>
          <w:szCs w:val="24"/>
        </w:rPr>
        <w:t xml:space="preserve">&amp; </w:t>
      </w:r>
      <w:proofErr w:type="spellStart"/>
      <w:r w:rsidR="00182CEC" w:rsidRPr="00D015C4">
        <w:rPr>
          <w:rFonts w:ascii="Bookman Old Style" w:hAnsi="Bookman Old Style"/>
          <w:b/>
          <w:bCs/>
          <w:i/>
          <w:iCs/>
          <w:sz w:val="24"/>
          <w:szCs w:val="24"/>
        </w:rPr>
        <w:t>Ors</w:t>
      </w:r>
      <w:proofErr w:type="spellEnd"/>
      <w:r w:rsidR="00182CEC" w:rsidRPr="00D015C4">
        <w:rPr>
          <w:rStyle w:val="FootnoteReference"/>
          <w:rFonts w:ascii="Bookman Old Style" w:hAnsi="Bookman Old Style"/>
          <w:b/>
          <w:bCs/>
          <w:i/>
          <w:iCs/>
          <w:sz w:val="24"/>
          <w:szCs w:val="24"/>
        </w:rPr>
        <w:footnoteReference w:id="8"/>
      </w:r>
      <w:r w:rsidR="008D1622" w:rsidRPr="00D015C4">
        <w:rPr>
          <w:rFonts w:ascii="Bookman Old Style" w:hAnsi="Bookman Old Style"/>
          <w:b/>
          <w:bCs/>
          <w:i/>
          <w:iCs/>
          <w:sz w:val="24"/>
          <w:szCs w:val="24"/>
        </w:rPr>
        <w:t>.</w:t>
      </w:r>
      <w:r w:rsidR="00182CEC" w:rsidRPr="00D015C4">
        <w:rPr>
          <w:rFonts w:ascii="Bookman Old Style" w:hAnsi="Bookman Old Style"/>
          <w:b/>
          <w:bCs/>
          <w:i/>
          <w:iCs/>
          <w:sz w:val="24"/>
          <w:szCs w:val="24"/>
        </w:rPr>
        <w:t xml:space="preserve"> </w:t>
      </w:r>
      <w:r w:rsidR="008D1622" w:rsidRPr="00D015C4">
        <w:rPr>
          <w:rFonts w:ascii="Bookman Old Style" w:hAnsi="Bookman Old Style"/>
          <w:sz w:val="24"/>
          <w:szCs w:val="24"/>
        </w:rPr>
        <w:t xml:space="preserve">After relying upon the said </w:t>
      </w:r>
      <w:r w:rsidR="00220CD5" w:rsidRPr="00D015C4">
        <w:rPr>
          <w:rFonts w:ascii="Bookman Old Style" w:hAnsi="Bookman Old Style"/>
          <w:sz w:val="24"/>
          <w:szCs w:val="24"/>
        </w:rPr>
        <w:t>pronouncements,</w:t>
      </w:r>
      <w:r w:rsidR="008D1622" w:rsidRPr="00D015C4">
        <w:rPr>
          <w:rFonts w:ascii="Bookman Old Style" w:hAnsi="Bookman Old Style"/>
          <w:sz w:val="24"/>
          <w:szCs w:val="24"/>
        </w:rPr>
        <w:t xml:space="preserve"> the Court held:</w:t>
      </w:r>
      <w:r w:rsidR="008D1622" w:rsidRPr="00D015C4">
        <w:rPr>
          <w:rFonts w:ascii="Bookman Old Style" w:hAnsi="Bookman Old Style"/>
          <w:b/>
          <w:bCs/>
          <w:i/>
          <w:iCs/>
          <w:sz w:val="24"/>
          <w:szCs w:val="24"/>
        </w:rPr>
        <w:t xml:space="preserve"> </w:t>
      </w:r>
    </w:p>
    <w:p w14:paraId="11850B01" w14:textId="35D87F9F" w:rsidR="009D4B9F" w:rsidRPr="00D015C4" w:rsidRDefault="009D4B9F"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u w:val="single"/>
          <w:lang w:val="en-IN"/>
        </w:rPr>
        <w:t>19</w:t>
      </w:r>
      <w:r w:rsidR="00B45DC7" w:rsidRPr="00D015C4">
        <w:rPr>
          <w:rFonts w:ascii="Bookman Old Style" w:hAnsi="Bookman Old Style"/>
          <w:iCs/>
          <w:sz w:val="24"/>
          <w:szCs w:val="24"/>
          <w:u w:val="single"/>
          <w:lang w:val="en-IN"/>
        </w:rPr>
        <w:t>8.…. we</w:t>
      </w:r>
      <w:r w:rsidRPr="00D015C4">
        <w:rPr>
          <w:rFonts w:ascii="Bookman Old Style" w:hAnsi="Bookman Old Style"/>
          <w:iCs/>
          <w:sz w:val="24"/>
          <w:szCs w:val="24"/>
          <w:u w:val="single"/>
          <w:lang w:val="en-IN"/>
        </w:rPr>
        <w:t xml:space="preserve"> are of the considered opinion that interest and penalty have rightly been levied. Once an amount of shortfall has not been paid, it has to carry 50% of the penalty on defaulted amount, as agreed. Thus, we find no substance in the submission that interest, penalty, and interest on penalty cannot be realised. It is as per the agreement. In the facts and circumstances, we find no ground to reduce the same, considering the nature of untenable objections raised on behalf of the licensees, which were in fact either barred by res judicata or constructive res judicata but as this Court had remitted the matter to TDSAT to find that demand was based on proper interpretation of licence</w:t>
      </w:r>
      <w:r w:rsidRPr="00D015C4">
        <w:rPr>
          <w:rFonts w:ascii="Bookman Old Style" w:hAnsi="Bookman Old Style"/>
          <w:b/>
          <w:bCs/>
          <w:iCs/>
          <w:sz w:val="24"/>
          <w:szCs w:val="24"/>
          <w:lang w:val="en-IN"/>
        </w:rPr>
        <w:t xml:space="preserve">. </w:t>
      </w:r>
      <w:r w:rsidRPr="00D015C4">
        <w:rPr>
          <w:rFonts w:ascii="Bookman Old Style" w:hAnsi="Bookman Old Style"/>
          <w:iCs/>
          <w:sz w:val="24"/>
          <w:szCs w:val="24"/>
          <w:lang w:val="en-IN"/>
        </w:rPr>
        <w:t>Matter was remitted after giving finding on inclusion of the various heads in the definition of gross revenue. Even as per the case of licensees they were not validly included in definition, now reprobating that, stand has been taken that they did not form part of revenue which is not permissible. No litigant can be permitted to reap fruits on such inconsistent and untenable stands and litigate for decades in several rounds which is not so uncommon but is disturbing scenario projected in very many cases. We have examined the matter upon merits and then aforesaid conclusion indicates frivolous nature of objections.</w:t>
      </w:r>
    </w:p>
    <w:p w14:paraId="41018060" w14:textId="7D59E24F" w:rsidR="00B45DC7" w:rsidRPr="00D015C4" w:rsidRDefault="00B45DC7"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lang w:val="en-IN"/>
        </w:rPr>
        <w:t>199. In the result, the appeals of licensees are dismissed and filed by DOT, are accordingly allowed in view of the findings recorded.</w:t>
      </w:r>
    </w:p>
    <w:p w14:paraId="3803D89D" w14:textId="47C0333B" w:rsidR="009D4B9F" w:rsidRPr="00D015C4" w:rsidRDefault="00220CD5" w:rsidP="00690E46">
      <w:pPr>
        <w:pStyle w:val="ListParagraph"/>
        <w:spacing w:after="200" w:line="240" w:lineRule="auto"/>
        <w:ind w:left="851" w:right="851"/>
        <w:contextualSpacing w:val="0"/>
        <w:jc w:val="right"/>
        <w:rPr>
          <w:rFonts w:ascii="Bookman Old Style" w:hAnsi="Bookman Old Style"/>
          <w:iCs/>
          <w:sz w:val="24"/>
          <w:szCs w:val="24"/>
          <w:u w:val="single"/>
        </w:rPr>
      </w:pPr>
      <w:r w:rsidRPr="00D015C4">
        <w:rPr>
          <w:rFonts w:ascii="Bookman Old Style" w:hAnsi="Bookman Old Style"/>
          <w:iCs/>
          <w:sz w:val="24"/>
          <w:szCs w:val="24"/>
          <w:lang w:val="en-IN"/>
        </w:rPr>
        <w:t>[Emphasis Added]</w:t>
      </w:r>
    </w:p>
    <w:p w14:paraId="32272130" w14:textId="50ACBA64" w:rsidR="00A95518" w:rsidRPr="00A95518" w:rsidRDefault="00131211" w:rsidP="00A95518">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lastRenderedPageBreak/>
        <w:t>That apart, the Supreme Court vide</w:t>
      </w:r>
      <w:r w:rsidR="009D4B9F" w:rsidRPr="00D015C4">
        <w:rPr>
          <w:rFonts w:ascii="Bookman Old Style" w:hAnsi="Bookman Old Style"/>
          <w:sz w:val="24"/>
          <w:szCs w:val="24"/>
        </w:rPr>
        <w:t xml:space="preserve"> a separate order of the same date,</w:t>
      </w:r>
      <w:r w:rsidR="006E5B2E" w:rsidRPr="00D015C4">
        <w:rPr>
          <w:rFonts w:ascii="Bookman Old Style" w:hAnsi="Bookman Old Style"/>
          <w:sz w:val="24"/>
          <w:szCs w:val="24"/>
        </w:rPr>
        <w:t xml:space="preserve"> gave three</w:t>
      </w:r>
      <w:r w:rsidR="009D4B9F" w:rsidRPr="00D015C4">
        <w:rPr>
          <w:rFonts w:ascii="Bookman Old Style" w:hAnsi="Bookman Old Style"/>
          <w:sz w:val="24"/>
          <w:szCs w:val="24"/>
        </w:rPr>
        <w:t xml:space="preserve"> months’ time to the TSP</w:t>
      </w:r>
      <w:r w:rsidR="00C77AA9">
        <w:rPr>
          <w:rFonts w:ascii="Bookman Old Style" w:hAnsi="Bookman Old Style"/>
          <w:sz w:val="24"/>
          <w:szCs w:val="24"/>
        </w:rPr>
        <w:t>s for depositing the due amount, which effectively ended on 24.01.2020.</w:t>
      </w:r>
    </w:p>
    <w:p w14:paraId="32F87F31" w14:textId="45F62668" w:rsidR="009D4B9F" w:rsidRPr="00D015C4" w:rsidRDefault="009D4B9F"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Be it noted, the Cellular Operators Association of India, vide letters dated 29.10.2019 and 31.10.2019 to DoT, had communicated their concerns regarding the repercussions of the SC judgment and sought appropriate reliefs from the concerned ministry, including requests for waiver of quantum imposed in the nature of interest, penalty and interest thereof. That apart, it also sought for duration of repayment to be 10 years with a 2-year moratorium.</w:t>
      </w:r>
      <w:r w:rsidR="00EE73F6" w:rsidRPr="00D015C4">
        <w:rPr>
          <w:rFonts w:ascii="Bookman Old Style" w:hAnsi="Bookman Old Style"/>
          <w:sz w:val="24"/>
          <w:szCs w:val="24"/>
        </w:rPr>
        <w:t xml:space="preserve"> The relevant paragraphs of the correspondence dated 29.10.2019 initiated by the Cellular Operators Association of India towards DoT are extracted </w:t>
      </w:r>
      <w:proofErr w:type="spellStart"/>
      <w:r w:rsidR="00EE73F6" w:rsidRPr="00D015C4">
        <w:rPr>
          <w:rFonts w:ascii="Bookman Old Style" w:hAnsi="Bookman Old Style"/>
          <w:sz w:val="24"/>
          <w:szCs w:val="24"/>
        </w:rPr>
        <w:t>hereinbelow</w:t>
      </w:r>
      <w:proofErr w:type="spellEnd"/>
      <w:r w:rsidR="00EE73F6" w:rsidRPr="00D015C4">
        <w:rPr>
          <w:rFonts w:ascii="Bookman Old Style" w:hAnsi="Bookman Old Style"/>
          <w:sz w:val="24"/>
          <w:szCs w:val="24"/>
        </w:rPr>
        <w:t>:</w:t>
      </w:r>
    </w:p>
    <w:p w14:paraId="66B79DB2" w14:textId="09B8B892" w:rsidR="009C2EF5" w:rsidRPr="00D015C4" w:rsidRDefault="00EE73F6"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lang w:val="en-IN"/>
        </w:rPr>
        <w:t xml:space="preserve"> </w:t>
      </w:r>
      <w:r w:rsidR="009C2EF5" w:rsidRPr="00D015C4">
        <w:rPr>
          <w:rFonts w:ascii="Bookman Old Style" w:hAnsi="Bookman Old Style"/>
          <w:iCs/>
          <w:sz w:val="24"/>
          <w:szCs w:val="24"/>
          <w:lang w:val="en-IN"/>
        </w:rPr>
        <w:t>“1. We draw your attention to the recent judgment of the Hon’ble Supreme Court in the over-a-decade long AGR case and the impact of this judgment on our member companies and the telecom industry as a whole.”</w:t>
      </w:r>
    </w:p>
    <w:p w14:paraId="0E8D5DFB" w14:textId="3CAEB2D8" w:rsidR="00EE73F6" w:rsidRPr="00D015C4" w:rsidRDefault="00EE73F6" w:rsidP="00690E46">
      <w:pPr>
        <w:spacing w:after="200" w:line="240" w:lineRule="auto"/>
        <w:ind w:left="851" w:right="851"/>
        <w:jc w:val="center"/>
        <w:rPr>
          <w:rFonts w:ascii="Bookman Old Style" w:hAnsi="Bookman Old Style"/>
          <w:iCs/>
          <w:sz w:val="24"/>
          <w:szCs w:val="24"/>
          <w:lang w:val="en-IN"/>
        </w:rPr>
      </w:pPr>
      <w:r w:rsidRPr="00D015C4">
        <w:rPr>
          <w:rFonts w:ascii="Bookman Old Style" w:hAnsi="Bookman Old Style"/>
          <w:iCs/>
          <w:sz w:val="24"/>
          <w:szCs w:val="24"/>
          <w:lang w:val="en-IN"/>
        </w:rPr>
        <w:t>XXX</w:t>
      </w:r>
    </w:p>
    <w:p w14:paraId="32053069" w14:textId="150FCCE2" w:rsidR="009C2EF5" w:rsidRPr="00D015C4" w:rsidRDefault="009C2EF5" w:rsidP="00690E46">
      <w:pPr>
        <w:spacing w:after="200" w:line="240" w:lineRule="auto"/>
        <w:ind w:left="851" w:right="851"/>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“5. We seek the urgent intervention of the Government to avert such an unprecedented impact on the financial health of our member companies.”</w:t>
      </w:r>
    </w:p>
    <w:p w14:paraId="1C38719A" w14:textId="28434E77" w:rsidR="009C2EF5" w:rsidRPr="00D015C4" w:rsidRDefault="009C2EF5" w:rsidP="00690E46">
      <w:pPr>
        <w:spacing w:after="200" w:line="240" w:lineRule="auto"/>
        <w:ind w:left="851" w:right="851"/>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“6. While recent judgement matter has to be urgently addressed, a moratorium of two years for spectrum payments, beyond the 1st of April 2020 till the 31st of March 2022, will ensure TSPs viability without compromising the net present value of spectrum dues to the</w:t>
      </w:r>
      <w:r w:rsidR="00EE73F6" w:rsidRPr="00D015C4">
        <w:rPr>
          <w:rFonts w:ascii="Bookman Old Style" w:hAnsi="Bookman Old Style"/>
          <w:iCs/>
          <w:sz w:val="24"/>
          <w:szCs w:val="24"/>
          <w:u w:val="single"/>
          <w:lang w:val="en-IN"/>
        </w:rPr>
        <w:t xml:space="preserve"> </w:t>
      </w:r>
      <w:r w:rsidRPr="00D015C4">
        <w:rPr>
          <w:rFonts w:ascii="Bookman Old Style" w:hAnsi="Bookman Old Style"/>
          <w:iCs/>
          <w:sz w:val="24"/>
          <w:szCs w:val="24"/>
          <w:u w:val="single"/>
          <w:lang w:val="en-IN"/>
        </w:rPr>
        <w:t>Government.”</w:t>
      </w:r>
    </w:p>
    <w:p w14:paraId="3925F410" w14:textId="5CC4BFAB" w:rsidR="00766CF8" w:rsidRPr="00D015C4" w:rsidRDefault="00766CF8" w:rsidP="00690E46">
      <w:pPr>
        <w:spacing w:after="200" w:line="240" w:lineRule="auto"/>
        <w:ind w:left="851" w:right="851"/>
        <w:jc w:val="center"/>
        <w:rPr>
          <w:rFonts w:ascii="Bookman Old Style" w:hAnsi="Bookman Old Style"/>
          <w:iCs/>
          <w:sz w:val="24"/>
          <w:szCs w:val="24"/>
          <w:lang w:val="en-IN"/>
        </w:rPr>
      </w:pPr>
      <w:r w:rsidRPr="00D015C4">
        <w:rPr>
          <w:rFonts w:ascii="Bookman Old Style" w:hAnsi="Bookman Old Style"/>
          <w:iCs/>
          <w:sz w:val="24"/>
          <w:szCs w:val="24"/>
          <w:lang w:val="en-IN"/>
        </w:rPr>
        <w:t>XXX</w:t>
      </w:r>
    </w:p>
    <w:p w14:paraId="6BEDA7AD" w14:textId="0EE1A5D7" w:rsidR="009C2EF5" w:rsidRPr="00D015C4" w:rsidRDefault="009C2EF5"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lang w:val="en-IN"/>
        </w:rPr>
        <w:t xml:space="preserve"> “9. We believe that it could not be the intent of the Government to enrich itself by charging license fee and SUC on non-licensed revenue/ income. Therefore, our request is for the Government to not press for the AGR dispute payment and grant waivers.”</w:t>
      </w:r>
    </w:p>
    <w:p w14:paraId="17468CF7" w14:textId="5F32CA89" w:rsidR="009C2EF5" w:rsidRPr="00D015C4" w:rsidRDefault="009C2EF5"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lang w:val="en-IN"/>
        </w:rPr>
        <w:lastRenderedPageBreak/>
        <w:t xml:space="preserve">“10. We, therefore, request your attention to this unprecedented crisis facing the telecom industry and seek your indulgence to consider our submissions for an urgent decision to avoid an uncontrollable chain of events for our member companies.” </w:t>
      </w:r>
    </w:p>
    <w:p w14:paraId="3A90DD16" w14:textId="7C170CA5" w:rsidR="00766CF8" w:rsidRPr="00D015C4" w:rsidRDefault="00766CF8" w:rsidP="00690E46">
      <w:pPr>
        <w:spacing w:after="200" w:line="240" w:lineRule="auto"/>
        <w:ind w:left="851" w:right="851"/>
        <w:jc w:val="right"/>
        <w:rPr>
          <w:rFonts w:ascii="Bookman Old Style" w:hAnsi="Bookman Old Style"/>
          <w:iCs/>
          <w:sz w:val="24"/>
          <w:szCs w:val="24"/>
          <w:lang w:val="en-IN"/>
        </w:rPr>
      </w:pPr>
      <w:r w:rsidRPr="00D015C4">
        <w:rPr>
          <w:rFonts w:ascii="Bookman Old Style" w:hAnsi="Bookman Old Style"/>
          <w:iCs/>
          <w:sz w:val="24"/>
          <w:szCs w:val="24"/>
          <w:lang w:val="en-IN"/>
        </w:rPr>
        <w:t>[Emphasis Added]</w:t>
      </w:r>
    </w:p>
    <w:p w14:paraId="20BFC427" w14:textId="5316AEF8" w:rsidR="00EE73F6" w:rsidRPr="00D015C4" w:rsidRDefault="00EE73F6" w:rsidP="00690E46">
      <w:pPr>
        <w:pStyle w:val="ListParagraph"/>
        <w:numPr>
          <w:ilvl w:val="0"/>
          <w:numId w:val="2"/>
        </w:numPr>
        <w:spacing w:after="200" w:line="480" w:lineRule="auto"/>
        <w:contextualSpacing w:val="0"/>
        <w:jc w:val="both"/>
        <w:rPr>
          <w:rFonts w:ascii="Bookman Old Style" w:hAnsi="Bookman Old Style"/>
          <w:iCs/>
          <w:sz w:val="24"/>
          <w:szCs w:val="24"/>
          <w:lang w:val="en-IN"/>
        </w:rPr>
      </w:pPr>
      <w:r w:rsidRPr="00D015C4">
        <w:rPr>
          <w:rFonts w:ascii="Bookman Old Style" w:hAnsi="Bookman Old Style"/>
          <w:sz w:val="24"/>
          <w:szCs w:val="24"/>
        </w:rPr>
        <w:t xml:space="preserve">The relevant paragraphs of the correspondence dated </w:t>
      </w:r>
      <w:r w:rsidR="00766CF8" w:rsidRPr="00D015C4">
        <w:rPr>
          <w:rFonts w:ascii="Bookman Old Style" w:hAnsi="Bookman Old Style"/>
          <w:iCs/>
          <w:sz w:val="24"/>
          <w:szCs w:val="24"/>
          <w:lang w:val="en-IN"/>
        </w:rPr>
        <w:t>31.10.2019</w:t>
      </w:r>
      <w:r w:rsidRPr="00D015C4">
        <w:rPr>
          <w:rFonts w:ascii="Bookman Old Style" w:hAnsi="Bookman Old Style"/>
          <w:sz w:val="24"/>
          <w:szCs w:val="24"/>
        </w:rPr>
        <w:t xml:space="preserve"> initiated by the Cellular Operators Association of India towards DoT are extracted </w:t>
      </w:r>
      <w:proofErr w:type="spellStart"/>
      <w:r w:rsidRPr="00D015C4">
        <w:rPr>
          <w:rFonts w:ascii="Bookman Old Style" w:hAnsi="Bookman Old Style"/>
          <w:sz w:val="24"/>
          <w:szCs w:val="24"/>
        </w:rPr>
        <w:t>hereinbelow</w:t>
      </w:r>
      <w:proofErr w:type="spellEnd"/>
      <w:r w:rsidRPr="00D015C4">
        <w:rPr>
          <w:rFonts w:ascii="Bookman Old Style" w:hAnsi="Bookman Old Style"/>
          <w:sz w:val="24"/>
          <w:szCs w:val="24"/>
        </w:rPr>
        <w:t>:</w:t>
      </w:r>
    </w:p>
    <w:p w14:paraId="3717DC1D" w14:textId="2FCEC83A" w:rsidR="009C2EF5" w:rsidRPr="00D015C4" w:rsidRDefault="00766CF8" w:rsidP="00690E46">
      <w:pPr>
        <w:spacing w:after="200" w:line="240" w:lineRule="auto"/>
        <w:ind w:left="851" w:right="851"/>
        <w:jc w:val="both"/>
        <w:rPr>
          <w:rFonts w:ascii="Bookman Old Style" w:hAnsi="Bookman Old Style"/>
          <w:iCs/>
          <w:sz w:val="24"/>
          <w:szCs w:val="24"/>
          <w:u w:val="single"/>
          <w:lang w:val="en-IN"/>
        </w:rPr>
      </w:pPr>
      <w:r w:rsidRPr="00D015C4">
        <w:rPr>
          <w:rFonts w:ascii="Bookman Old Style" w:hAnsi="Bookman Old Style"/>
          <w:iCs/>
          <w:sz w:val="24"/>
          <w:szCs w:val="24"/>
          <w:u w:val="single"/>
          <w:lang w:val="en-IN"/>
        </w:rPr>
        <w:t xml:space="preserve"> </w:t>
      </w:r>
      <w:r w:rsidR="009C2EF5" w:rsidRPr="00D015C4">
        <w:rPr>
          <w:rFonts w:ascii="Bookman Old Style" w:hAnsi="Bookman Old Style"/>
          <w:iCs/>
          <w:sz w:val="24"/>
          <w:szCs w:val="24"/>
          <w:u w:val="single"/>
          <w:lang w:val="en-IN"/>
        </w:rPr>
        <w:t>“2. We request that the government waive off the entire disputed amount…”</w:t>
      </w:r>
    </w:p>
    <w:p w14:paraId="23B7F63B" w14:textId="168B5750" w:rsidR="009C2EF5" w:rsidRPr="00D015C4" w:rsidRDefault="009C2EF5" w:rsidP="00690E46">
      <w:pPr>
        <w:spacing w:after="200" w:line="240" w:lineRule="auto"/>
        <w:ind w:left="851" w:right="851"/>
        <w:jc w:val="both"/>
        <w:rPr>
          <w:rFonts w:ascii="Bookman Old Style" w:hAnsi="Bookman Old Style"/>
          <w:iCs/>
          <w:sz w:val="24"/>
          <w:szCs w:val="24"/>
          <w:lang w:val="en-IN"/>
        </w:rPr>
      </w:pPr>
      <w:r w:rsidRPr="00D015C4">
        <w:rPr>
          <w:rFonts w:ascii="Bookman Old Style" w:hAnsi="Bookman Old Style"/>
          <w:iCs/>
          <w:sz w:val="24"/>
          <w:szCs w:val="24"/>
          <w:lang w:val="en-IN"/>
        </w:rPr>
        <w:t xml:space="preserve">“3. However, if such a step is not possible, we request that the government waive off the interest, penalty and interest on penalty given the background of this matter. Since the disputed payments go back to accumulation over past 14 years, </w:t>
      </w:r>
      <w:r w:rsidRPr="00D015C4">
        <w:rPr>
          <w:rFonts w:ascii="Bookman Old Style" w:hAnsi="Bookman Old Style"/>
          <w:iCs/>
          <w:sz w:val="24"/>
          <w:szCs w:val="24"/>
          <w:u w:val="single"/>
          <w:lang w:val="en-IN"/>
        </w:rPr>
        <w:t>we request that the principal repayment of past dues to be done over a period of 10 years, with a two year moratorium</w:t>
      </w:r>
      <w:r w:rsidRPr="00D015C4">
        <w:rPr>
          <w:rFonts w:ascii="Bookman Old Style" w:hAnsi="Bookman Old Style"/>
          <w:iCs/>
          <w:sz w:val="24"/>
          <w:szCs w:val="24"/>
          <w:lang w:val="en-IN"/>
        </w:rPr>
        <w:t xml:space="preserve">.” </w:t>
      </w:r>
    </w:p>
    <w:p w14:paraId="61BCC5C7" w14:textId="3DC81C6C" w:rsidR="00766CF8" w:rsidRPr="00A95518" w:rsidRDefault="00766CF8" w:rsidP="00A95518">
      <w:pPr>
        <w:spacing w:after="200" w:line="240" w:lineRule="auto"/>
        <w:ind w:left="851" w:right="851"/>
        <w:jc w:val="right"/>
        <w:rPr>
          <w:rFonts w:ascii="Bookman Old Style" w:hAnsi="Bookman Old Style"/>
          <w:iCs/>
          <w:sz w:val="24"/>
          <w:szCs w:val="24"/>
          <w:lang w:val="en-IN"/>
        </w:rPr>
      </w:pPr>
      <w:r w:rsidRPr="00D015C4">
        <w:rPr>
          <w:rFonts w:ascii="Bookman Old Style" w:hAnsi="Bookman Old Style"/>
          <w:iCs/>
          <w:sz w:val="24"/>
          <w:szCs w:val="24"/>
          <w:lang w:val="en-IN"/>
        </w:rPr>
        <w:t>[Emphasis Added]</w:t>
      </w:r>
    </w:p>
    <w:p w14:paraId="66F579AC" w14:textId="2BA44B07" w:rsidR="00766CF8" w:rsidRPr="00CE0E58" w:rsidRDefault="00A95518" w:rsidP="00A95518">
      <w:pPr>
        <w:pStyle w:val="ListParagraph"/>
        <w:numPr>
          <w:ilvl w:val="0"/>
          <w:numId w:val="2"/>
        </w:numPr>
        <w:spacing w:after="200" w:line="480" w:lineRule="auto"/>
        <w:contextualSpacing w:val="0"/>
        <w:jc w:val="both"/>
        <w:rPr>
          <w:rFonts w:ascii="Bookman Old Style" w:hAnsi="Bookman Old Style"/>
          <w:b/>
          <w:i/>
          <w:color w:val="000000"/>
          <w:sz w:val="24"/>
          <w:szCs w:val="24"/>
          <w:u w:val="single"/>
        </w:rPr>
      </w:pPr>
      <w:r>
        <w:rPr>
          <w:rFonts w:ascii="Bookman Old Style" w:hAnsi="Bookman Old Style"/>
          <w:sz w:val="24"/>
          <w:szCs w:val="24"/>
        </w:rPr>
        <w:t>It needs to be mentioned that in the meantime the TSPs file a review petition before the Supreme Court. The review petition was dismissed in-chambers by the Supreme Court</w:t>
      </w:r>
      <w:r w:rsidR="007D769F">
        <w:rPr>
          <w:rFonts w:ascii="Bookman Old Style" w:hAnsi="Bookman Old Style"/>
          <w:sz w:val="24"/>
          <w:szCs w:val="24"/>
        </w:rPr>
        <w:t xml:space="preserve"> and later when by 24.01.2020 payments were not made by the TSPs to the ex-chequer, a three-Judge Bench of the Supreme Court led by </w:t>
      </w:r>
      <w:proofErr w:type="spellStart"/>
      <w:r w:rsidR="007D769F">
        <w:rPr>
          <w:rFonts w:ascii="Bookman Old Style" w:hAnsi="Bookman Old Style"/>
          <w:sz w:val="24"/>
          <w:szCs w:val="24"/>
        </w:rPr>
        <w:t>Hon’ble</w:t>
      </w:r>
      <w:proofErr w:type="spellEnd"/>
      <w:r w:rsidR="007D769F">
        <w:rPr>
          <w:rFonts w:ascii="Bookman Old Style" w:hAnsi="Bookman Old Style"/>
          <w:sz w:val="24"/>
          <w:szCs w:val="24"/>
        </w:rPr>
        <w:t xml:space="preserve"> </w:t>
      </w:r>
      <w:proofErr w:type="spellStart"/>
      <w:r w:rsidR="007D769F">
        <w:rPr>
          <w:rFonts w:ascii="Bookman Old Style" w:hAnsi="Bookman Old Style"/>
          <w:sz w:val="24"/>
          <w:szCs w:val="24"/>
        </w:rPr>
        <w:t>Mr.</w:t>
      </w:r>
      <w:proofErr w:type="spellEnd"/>
      <w:r w:rsidR="007D769F">
        <w:rPr>
          <w:rFonts w:ascii="Bookman Old Style" w:hAnsi="Bookman Old Style"/>
          <w:sz w:val="24"/>
          <w:szCs w:val="24"/>
        </w:rPr>
        <w:t xml:space="preserve"> Justice </w:t>
      </w:r>
      <w:proofErr w:type="spellStart"/>
      <w:r w:rsidR="007D769F">
        <w:rPr>
          <w:rFonts w:ascii="Bookman Old Style" w:hAnsi="Bookman Old Style"/>
          <w:sz w:val="24"/>
          <w:szCs w:val="24"/>
        </w:rPr>
        <w:t>Arun</w:t>
      </w:r>
      <w:proofErr w:type="spellEnd"/>
      <w:r w:rsidR="007D769F">
        <w:rPr>
          <w:rFonts w:ascii="Bookman Old Style" w:hAnsi="Bookman Old Style"/>
          <w:sz w:val="24"/>
          <w:szCs w:val="24"/>
        </w:rPr>
        <w:t xml:space="preserve"> Mishra lambasted the Telecom Ministry by even going to the extent of initiating</w:t>
      </w:r>
      <w:r w:rsidR="003E5CE5">
        <w:rPr>
          <w:rFonts w:ascii="Bookman Old Style" w:hAnsi="Bookman Old Style"/>
          <w:sz w:val="24"/>
          <w:szCs w:val="24"/>
        </w:rPr>
        <w:t xml:space="preserve"> contempt proceedings against everyone involved, right up to the desk officer who was </w:t>
      </w:r>
      <w:r w:rsidR="00CE0E58">
        <w:rPr>
          <w:rFonts w:ascii="Bookman Old Style" w:hAnsi="Bookman Old Style"/>
          <w:sz w:val="24"/>
          <w:szCs w:val="24"/>
        </w:rPr>
        <w:t>as per Court “</w:t>
      </w:r>
      <w:r w:rsidR="00CE0E58" w:rsidRPr="00CE0E58">
        <w:rPr>
          <w:rFonts w:ascii="Bookman Old Style" w:hAnsi="Bookman Old Style"/>
          <w:i/>
          <w:sz w:val="24"/>
          <w:szCs w:val="24"/>
        </w:rPr>
        <w:t>had the audacity to</w:t>
      </w:r>
      <w:r w:rsidR="00F23E13">
        <w:rPr>
          <w:rFonts w:ascii="Bookman Old Style" w:hAnsi="Bookman Old Style"/>
          <w:i/>
          <w:sz w:val="24"/>
          <w:szCs w:val="24"/>
        </w:rPr>
        <w:t>,</w:t>
      </w:r>
      <w:r w:rsidR="00CE0E58" w:rsidRPr="00CE0E58">
        <w:rPr>
          <w:rFonts w:ascii="Bookman Old Style" w:hAnsi="Bookman Old Style"/>
          <w:i/>
          <w:sz w:val="24"/>
          <w:szCs w:val="24"/>
        </w:rPr>
        <w:t xml:space="preserve"> not follow the order of the Court”.</w:t>
      </w:r>
    </w:p>
    <w:p w14:paraId="5469D053" w14:textId="77777777" w:rsidR="00BC6B1C" w:rsidRDefault="00BC6B1C" w:rsidP="00690E46">
      <w:pPr>
        <w:spacing w:after="200" w:line="480" w:lineRule="auto"/>
        <w:jc w:val="both"/>
        <w:rPr>
          <w:rFonts w:ascii="Bookman Old Style" w:hAnsi="Bookman Old Style"/>
          <w:b/>
          <w:color w:val="000000"/>
          <w:sz w:val="24"/>
          <w:szCs w:val="24"/>
          <w:u w:val="single"/>
        </w:rPr>
      </w:pPr>
    </w:p>
    <w:p w14:paraId="7A69EB39" w14:textId="77777777" w:rsidR="00BC6B1C" w:rsidRDefault="00BC6B1C" w:rsidP="00690E46">
      <w:pPr>
        <w:spacing w:after="200" w:line="480" w:lineRule="auto"/>
        <w:jc w:val="both"/>
        <w:rPr>
          <w:rFonts w:ascii="Bookman Old Style" w:hAnsi="Bookman Old Style"/>
          <w:b/>
          <w:color w:val="000000"/>
          <w:sz w:val="24"/>
          <w:szCs w:val="24"/>
          <w:u w:val="single"/>
        </w:rPr>
      </w:pPr>
    </w:p>
    <w:p w14:paraId="2C18CF54" w14:textId="4C71D933" w:rsidR="009D4B9F" w:rsidRPr="00D015C4" w:rsidRDefault="009D4B9F" w:rsidP="00690E46">
      <w:pPr>
        <w:spacing w:after="200" w:line="480" w:lineRule="auto"/>
        <w:jc w:val="both"/>
        <w:rPr>
          <w:rFonts w:ascii="Bookman Old Style" w:hAnsi="Bookman Old Style"/>
          <w:bCs/>
          <w:color w:val="000000"/>
          <w:sz w:val="24"/>
          <w:szCs w:val="24"/>
        </w:rPr>
      </w:pPr>
      <w:r w:rsidRPr="00D015C4">
        <w:rPr>
          <w:rFonts w:ascii="Bookman Old Style" w:hAnsi="Bookman Old Style"/>
          <w:b/>
          <w:color w:val="000000"/>
          <w:sz w:val="24"/>
          <w:szCs w:val="24"/>
          <w:u w:val="single"/>
        </w:rPr>
        <w:lastRenderedPageBreak/>
        <w:t>ANALYSIS AND FINDING</w:t>
      </w:r>
      <w:r w:rsidR="00BC6B1C">
        <w:rPr>
          <w:rFonts w:ascii="Bookman Old Style" w:hAnsi="Bookman Old Style"/>
          <w:b/>
          <w:color w:val="000000"/>
          <w:sz w:val="24"/>
          <w:szCs w:val="24"/>
          <w:u w:val="single"/>
        </w:rPr>
        <w:t>S</w:t>
      </w:r>
      <w:r w:rsidRPr="00D015C4">
        <w:rPr>
          <w:rFonts w:ascii="Bookman Old Style" w:hAnsi="Bookman Old Style"/>
          <w:b/>
          <w:color w:val="000000"/>
          <w:sz w:val="24"/>
          <w:szCs w:val="24"/>
        </w:rPr>
        <w:t>:</w:t>
      </w:r>
    </w:p>
    <w:p w14:paraId="0EC56B76" w14:textId="00CFD320" w:rsidR="001B5BEC" w:rsidRPr="00D015C4" w:rsidRDefault="00CE0E58" w:rsidP="00690E46">
      <w:pPr>
        <w:pStyle w:val="ListParagraph"/>
        <w:numPr>
          <w:ilvl w:val="0"/>
          <w:numId w:val="2"/>
        </w:numPr>
        <w:spacing w:after="200" w:line="480" w:lineRule="auto"/>
        <w:contextualSpacing w:val="0"/>
        <w:jc w:val="both"/>
        <w:rPr>
          <w:rFonts w:ascii="Bookman Old Style" w:hAnsi="Bookman Old Style"/>
          <w:sz w:val="24"/>
          <w:szCs w:val="24"/>
        </w:rPr>
      </w:pPr>
      <w:r>
        <w:rPr>
          <w:rFonts w:ascii="Bookman Old Style" w:hAnsi="Bookman Old Style"/>
          <w:sz w:val="24"/>
          <w:szCs w:val="24"/>
        </w:rPr>
        <w:t xml:space="preserve">Here </w:t>
      </w:r>
      <w:r w:rsidR="00F23E13">
        <w:rPr>
          <w:rFonts w:ascii="Bookman Old Style" w:hAnsi="Bookman Old Style"/>
          <w:sz w:val="24"/>
          <w:szCs w:val="24"/>
        </w:rPr>
        <w:t>in this</w:t>
      </w:r>
      <w:r>
        <w:rPr>
          <w:rFonts w:ascii="Bookman Old Style" w:hAnsi="Bookman Old Style"/>
          <w:sz w:val="24"/>
          <w:szCs w:val="24"/>
        </w:rPr>
        <w:t xml:space="preserve"> Article the pivotal question, which requires consideration is; </w:t>
      </w:r>
      <w:r w:rsidR="00220CD5" w:rsidRPr="00D015C4">
        <w:rPr>
          <w:rFonts w:ascii="Bookman Old Style" w:hAnsi="Bookman Old Style"/>
          <w:sz w:val="24"/>
          <w:szCs w:val="24"/>
        </w:rPr>
        <w:t>whether</w:t>
      </w:r>
      <w:r w:rsidR="001B5BEC" w:rsidRPr="00D015C4">
        <w:rPr>
          <w:rFonts w:ascii="Bookman Old Style" w:hAnsi="Bookman Old Style"/>
          <w:bCs/>
          <w:color w:val="000000"/>
          <w:sz w:val="24"/>
          <w:szCs w:val="24"/>
        </w:rPr>
        <w:t>, the Central Government can, in its capacity as licensor, by an executive order, waive off</w:t>
      </w:r>
      <w:r w:rsidR="000C32D4" w:rsidRPr="00D015C4">
        <w:rPr>
          <w:rFonts w:ascii="Bookman Old Style" w:hAnsi="Bookman Old Style"/>
          <w:bCs/>
          <w:color w:val="000000"/>
          <w:sz w:val="24"/>
          <w:szCs w:val="24"/>
        </w:rPr>
        <w:t xml:space="preserve"> and/or grant more time to the TSPs to honour,</w:t>
      </w:r>
      <w:r w:rsidR="001B5BEC" w:rsidRPr="00D015C4">
        <w:rPr>
          <w:rFonts w:ascii="Bookman Old Style" w:hAnsi="Bookman Old Style"/>
          <w:bCs/>
          <w:color w:val="000000"/>
          <w:sz w:val="24"/>
          <w:szCs w:val="24"/>
        </w:rPr>
        <w:t xml:space="preserve"> </w:t>
      </w:r>
      <w:r w:rsidR="000C32D4" w:rsidRPr="00D015C4">
        <w:rPr>
          <w:rFonts w:ascii="Bookman Old Style" w:hAnsi="Bookman Old Style"/>
          <w:bCs/>
          <w:color w:val="000000"/>
          <w:sz w:val="24"/>
          <w:szCs w:val="24"/>
        </w:rPr>
        <w:t>their liability</w:t>
      </w:r>
      <w:r w:rsidR="001B5BEC" w:rsidRPr="00D015C4">
        <w:rPr>
          <w:rFonts w:ascii="Bookman Old Style" w:hAnsi="Bookman Old Style"/>
          <w:bCs/>
          <w:color w:val="000000"/>
          <w:sz w:val="24"/>
          <w:szCs w:val="24"/>
        </w:rPr>
        <w:t xml:space="preserve"> </w:t>
      </w:r>
      <w:r w:rsidR="000C32D4" w:rsidRPr="00D015C4">
        <w:rPr>
          <w:rFonts w:ascii="Bookman Old Style" w:hAnsi="Bookman Old Style"/>
          <w:bCs/>
          <w:color w:val="000000"/>
          <w:sz w:val="24"/>
          <w:szCs w:val="24"/>
        </w:rPr>
        <w:t>qua</w:t>
      </w:r>
      <w:r w:rsidR="001B5BEC" w:rsidRPr="00D015C4">
        <w:rPr>
          <w:rFonts w:ascii="Bookman Old Style" w:hAnsi="Bookman Old Style"/>
          <w:bCs/>
          <w:color w:val="000000"/>
          <w:sz w:val="24"/>
          <w:szCs w:val="24"/>
        </w:rPr>
        <w:t xml:space="preserve"> balance license fee and SUC, interest, penalty thereupon, and interest on penalty</w:t>
      </w:r>
      <w:r w:rsidR="000C32D4" w:rsidRPr="00D015C4">
        <w:rPr>
          <w:rFonts w:ascii="Bookman Old Style" w:hAnsi="Bookman Old Style"/>
          <w:bCs/>
          <w:color w:val="000000"/>
          <w:sz w:val="24"/>
          <w:szCs w:val="24"/>
        </w:rPr>
        <w:t xml:space="preserve">, </w:t>
      </w:r>
      <w:r w:rsidR="001B5BEC" w:rsidRPr="00D015C4">
        <w:rPr>
          <w:rFonts w:ascii="Bookman Old Style" w:hAnsi="Bookman Old Style"/>
          <w:bCs/>
          <w:color w:val="000000"/>
          <w:sz w:val="24"/>
          <w:szCs w:val="24"/>
        </w:rPr>
        <w:t xml:space="preserve">which have been crystallised consequent to the decision of the Supreme Court in </w:t>
      </w:r>
      <w:r w:rsidR="001B5BEC" w:rsidRPr="00D015C4">
        <w:rPr>
          <w:rFonts w:ascii="Bookman Old Style" w:hAnsi="Bookman Old Style"/>
          <w:b/>
          <w:i/>
          <w:sz w:val="24"/>
          <w:szCs w:val="24"/>
        </w:rPr>
        <w:t>Association of Unified Telecom Service Providers of India</w:t>
      </w:r>
      <w:r w:rsidR="000C32D4" w:rsidRPr="00D015C4">
        <w:rPr>
          <w:rFonts w:ascii="Bookman Old Style" w:hAnsi="Bookman Old Style"/>
          <w:b/>
          <w:i/>
          <w:sz w:val="24"/>
          <w:szCs w:val="24"/>
        </w:rPr>
        <w:t xml:space="preserve"> </w:t>
      </w:r>
      <w:r w:rsidR="000C32D4" w:rsidRPr="00D015C4">
        <w:rPr>
          <w:rFonts w:ascii="Bookman Old Style" w:hAnsi="Bookman Old Style"/>
          <w:bCs/>
          <w:iCs/>
          <w:sz w:val="24"/>
          <w:szCs w:val="24"/>
        </w:rPr>
        <w:t>(supra).</w:t>
      </w:r>
    </w:p>
    <w:p w14:paraId="7E1588C7" w14:textId="4A8CF888" w:rsidR="00220CD5" w:rsidRPr="00D015C4" w:rsidRDefault="000C32D4"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In the obtaining situation it apposite to allude to a few varied aspects, beginning with:</w:t>
      </w:r>
    </w:p>
    <w:p w14:paraId="1975366E" w14:textId="2BA3D849" w:rsidR="004A6759" w:rsidRPr="00D015C4" w:rsidRDefault="000C32D4" w:rsidP="00690E46">
      <w:pPr>
        <w:spacing w:after="200" w:line="360" w:lineRule="auto"/>
        <w:ind w:left="360"/>
        <w:jc w:val="both"/>
        <w:rPr>
          <w:sz w:val="24"/>
          <w:szCs w:val="24"/>
          <w:lang w:val="en-IN"/>
        </w:rPr>
      </w:pPr>
      <w:r w:rsidRPr="00D015C4">
        <w:rPr>
          <w:rFonts w:ascii="Bookman Old Style" w:hAnsi="Bookman Old Style"/>
          <w:b/>
          <w:bCs/>
          <w:sz w:val="24"/>
          <w:szCs w:val="24"/>
        </w:rPr>
        <w:t xml:space="preserve">A. Consistent Position of DoT </w:t>
      </w:r>
      <w:r w:rsidRPr="003A5351">
        <w:rPr>
          <w:rFonts w:ascii="Bookman Old Style" w:hAnsi="Bookman Old Style"/>
          <w:b/>
          <w:bCs/>
          <w:i/>
          <w:sz w:val="24"/>
          <w:szCs w:val="24"/>
        </w:rPr>
        <w:t>qua</w:t>
      </w:r>
      <w:r w:rsidRPr="00D015C4">
        <w:rPr>
          <w:rFonts w:ascii="Bookman Old Style" w:hAnsi="Bookman Old Style"/>
          <w:b/>
          <w:bCs/>
          <w:sz w:val="24"/>
          <w:szCs w:val="24"/>
        </w:rPr>
        <w:t xml:space="preserve"> Definition of AGR and Its Components</w:t>
      </w:r>
    </w:p>
    <w:p w14:paraId="502BE78E" w14:textId="77777777" w:rsidR="00EB7C61" w:rsidRPr="00D015C4" w:rsidRDefault="004A6759"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 It</w:t>
      </w:r>
      <w:r w:rsidR="00D63EB7" w:rsidRPr="00D015C4">
        <w:rPr>
          <w:rFonts w:ascii="Bookman Old Style" w:hAnsi="Bookman Old Style"/>
          <w:sz w:val="24"/>
          <w:szCs w:val="24"/>
        </w:rPr>
        <w:t xml:space="preserve"> is imperative to set out, the DoT’s position </w:t>
      </w:r>
      <w:r w:rsidR="00B94FC6" w:rsidRPr="00D015C4">
        <w:rPr>
          <w:rFonts w:ascii="Bookman Old Style" w:hAnsi="Bookman Old Style"/>
          <w:sz w:val="24"/>
          <w:szCs w:val="24"/>
        </w:rPr>
        <w:t>concerning</w:t>
      </w:r>
      <w:r w:rsidR="00D63EB7" w:rsidRPr="00D015C4">
        <w:rPr>
          <w:rFonts w:ascii="Bookman Old Style" w:hAnsi="Bookman Old Style"/>
          <w:sz w:val="24"/>
          <w:szCs w:val="24"/>
        </w:rPr>
        <w:t xml:space="preserve"> the heads of revenue to be included in the definition of AGR has been consistent and</w:t>
      </w:r>
      <w:r w:rsidR="00B94FC6" w:rsidRPr="00D015C4">
        <w:rPr>
          <w:rFonts w:ascii="Bookman Old Style" w:hAnsi="Bookman Old Style"/>
          <w:sz w:val="24"/>
          <w:szCs w:val="24"/>
        </w:rPr>
        <w:t>,</w:t>
      </w:r>
      <w:r w:rsidR="00D63EB7" w:rsidRPr="00D015C4">
        <w:rPr>
          <w:rFonts w:ascii="Bookman Old Style" w:hAnsi="Bookman Old Style"/>
          <w:sz w:val="24"/>
          <w:szCs w:val="24"/>
        </w:rPr>
        <w:t xml:space="preserve"> </w:t>
      </w:r>
      <w:r w:rsidR="00B94FC6" w:rsidRPr="00D015C4">
        <w:rPr>
          <w:rFonts w:ascii="Bookman Old Style" w:hAnsi="Bookman Old Style"/>
          <w:sz w:val="24"/>
          <w:szCs w:val="24"/>
        </w:rPr>
        <w:t xml:space="preserve">accordingly, </w:t>
      </w:r>
      <w:r w:rsidR="00D63EB7" w:rsidRPr="00D015C4">
        <w:rPr>
          <w:rFonts w:ascii="Bookman Old Style" w:hAnsi="Bookman Old Style"/>
          <w:sz w:val="24"/>
          <w:szCs w:val="24"/>
        </w:rPr>
        <w:t>DoT has consistently maintained that revenues from non-licensed activities are included within the definition of AGR</w:t>
      </w:r>
      <w:r w:rsidRPr="00D015C4">
        <w:rPr>
          <w:rFonts w:ascii="Bookman Old Style" w:hAnsi="Bookman Old Style"/>
          <w:sz w:val="24"/>
          <w:szCs w:val="24"/>
        </w:rPr>
        <w:t>, before the TDSAT in 2003</w:t>
      </w:r>
      <w:r w:rsidR="00B94FC6" w:rsidRPr="00D015C4">
        <w:rPr>
          <w:rFonts w:ascii="Bookman Old Style" w:hAnsi="Bookman Old Style"/>
          <w:sz w:val="24"/>
          <w:szCs w:val="24"/>
        </w:rPr>
        <w:t>. Moreover,</w:t>
      </w:r>
      <w:r w:rsidRPr="00D015C4">
        <w:rPr>
          <w:rFonts w:ascii="Bookman Old Style" w:hAnsi="Bookman Old Style"/>
          <w:sz w:val="24"/>
          <w:szCs w:val="24"/>
        </w:rPr>
        <w:t xml:space="preserve"> DoT in all </w:t>
      </w:r>
      <w:r w:rsidR="00D63EB7" w:rsidRPr="00D015C4">
        <w:rPr>
          <w:rFonts w:ascii="Bookman Old Style" w:hAnsi="Bookman Old Style"/>
          <w:sz w:val="24"/>
          <w:szCs w:val="24"/>
        </w:rPr>
        <w:t>previous rounds of litigation, ha</w:t>
      </w:r>
      <w:r w:rsidRPr="00D015C4">
        <w:rPr>
          <w:rFonts w:ascii="Bookman Old Style" w:hAnsi="Bookman Old Style"/>
          <w:sz w:val="24"/>
          <w:szCs w:val="24"/>
        </w:rPr>
        <w:t>d</w:t>
      </w:r>
      <w:r w:rsidR="00D63EB7" w:rsidRPr="00D015C4">
        <w:rPr>
          <w:rFonts w:ascii="Bookman Old Style" w:hAnsi="Bookman Old Style"/>
          <w:sz w:val="24"/>
          <w:szCs w:val="24"/>
        </w:rPr>
        <w:t xml:space="preserve"> taken a consistent position that the definition and components of AGR include revenue from non-licensed activities and that the TSPs have accepted the definition of AGR as described in the license agreement</w:t>
      </w:r>
      <w:r w:rsidRPr="00D015C4">
        <w:rPr>
          <w:rFonts w:ascii="Bookman Old Style" w:hAnsi="Bookman Old Style"/>
          <w:sz w:val="24"/>
          <w:szCs w:val="24"/>
        </w:rPr>
        <w:t xml:space="preserve"> </w:t>
      </w:r>
      <w:r w:rsidR="00D63EB7" w:rsidRPr="00D015C4">
        <w:rPr>
          <w:rFonts w:ascii="Bookman Old Style" w:hAnsi="Bookman Old Style"/>
          <w:sz w:val="24"/>
          <w:szCs w:val="24"/>
        </w:rPr>
        <w:t>and</w:t>
      </w:r>
      <w:r w:rsidRPr="00D015C4">
        <w:rPr>
          <w:rFonts w:ascii="Bookman Old Style" w:hAnsi="Bookman Old Style"/>
          <w:sz w:val="24"/>
          <w:szCs w:val="24"/>
        </w:rPr>
        <w:t>,</w:t>
      </w:r>
      <w:r w:rsidR="00D63EB7" w:rsidRPr="00D015C4">
        <w:rPr>
          <w:rFonts w:ascii="Bookman Old Style" w:hAnsi="Bookman Old Style"/>
          <w:sz w:val="24"/>
          <w:szCs w:val="24"/>
        </w:rPr>
        <w:t xml:space="preserve"> therefore</w:t>
      </w:r>
      <w:r w:rsidRPr="00D015C4">
        <w:rPr>
          <w:rFonts w:ascii="Bookman Old Style" w:hAnsi="Bookman Old Style"/>
          <w:sz w:val="24"/>
          <w:szCs w:val="24"/>
        </w:rPr>
        <w:t>,</w:t>
      </w:r>
      <w:r w:rsidR="00D63EB7" w:rsidRPr="00D015C4">
        <w:rPr>
          <w:rFonts w:ascii="Bookman Old Style" w:hAnsi="Bookman Old Style"/>
          <w:sz w:val="24"/>
          <w:szCs w:val="24"/>
        </w:rPr>
        <w:t xml:space="preserve"> cannot be permitted to </w:t>
      </w:r>
      <w:proofErr w:type="spellStart"/>
      <w:r w:rsidR="00D63EB7" w:rsidRPr="00D015C4">
        <w:rPr>
          <w:rFonts w:ascii="Bookman Old Style" w:hAnsi="Bookman Old Style"/>
          <w:sz w:val="24"/>
          <w:szCs w:val="24"/>
        </w:rPr>
        <w:t>resile</w:t>
      </w:r>
      <w:proofErr w:type="spellEnd"/>
      <w:r w:rsidR="00D63EB7" w:rsidRPr="00D015C4">
        <w:rPr>
          <w:rFonts w:ascii="Bookman Old Style" w:hAnsi="Bookman Old Style"/>
          <w:sz w:val="24"/>
          <w:szCs w:val="24"/>
        </w:rPr>
        <w:t xml:space="preserve"> from it or seek to challenge the same. </w:t>
      </w:r>
    </w:p>
    <w:p w14:paraId="3605231B" w14:textId="38C31C48" w:rsidR="00EB7C61"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lastRenderedPageBreak/>
        <w:t xml:space="preserve"> DoT’s aforementioned stance has been consistent </w:t>
      </w:r>
      <w:r w:rsidR="00EB7C61" w:rsidRPr="00D015C4">
        <w:rPr>
          <w:rFonts w:ascii="Bookman Old Style" w:hAnsi="Bookman Old Style"/>
          <w:sz w:val="24"/>
          <w:szCs w:val="24"/>
        </w:rPr>
        <w:t>since</w:t>
      </w:r>
      <w:r w:rsidRPr="00D015C4">
        <w:rPr>
          <w:rFonts w:ascii="Bookman Old Style" w:hAnsi="Bookman Old Style"/>
          <w:sz w:val="24"/>
          <w:szCs w:val="24"/>
        </w:rPr>
        <w:t xml:space="preserve"> 2003, when in a challenge to the validity of the definition of AGR by TSPs before the TDSAT, the Central Government filed an affidavit contending that</w:t>
      </w:r>
      <w:r w:rsidR="00EB7C61" w:rsidRPr="00D015C4">
        <w:rPr>
          <w:rFonts w:ascii="Bookman Old Style" w:hAnsi="Bookman Old Style"/>
          <w:sz w:val="24"/>
          <w:szCs w:val="24"/>
        </w:rPr>
        <w:t>:</w:t>
      </w:r>
    </w:p>
    <w:p w14:paraId="0CC9C324" w14:textId="1B279D76" w:rsidR="00EB7C61" w:rsidRPr="00D015C4" w:rsidRDefault="00D63EB7" w:rsidP="00690E46">
      <w:pPr>
        <w:pStyle w:val="ListParagraph"/>
        <w:spacing w:after="200" w:line="240" w:lineRule="auto"/>
        <w:ind w:left="851" w:right="851"/>
        <w:contextualSpacing w:val="0"/>
        <w:jc w:val="both"/>
        <w:rPr>
          <w:rFonts w:ascii="Bookman Old Style" w:hAnsi="Bookman Old Style"/>
          <w:iCs/>
          <w:sz w:val="24"/>
          <w:szCs w:val="24"/>
        </w:rPr>
      </w:pPr>
      <w:r w:rsidRPr="00D015C4">
        <w:rPr>
          <w:rFonts w:ascii="Bookman Old Style" w:hAnsi="Bookman Old Style"/>
          <w:iCs/>
          <w:sz w:val="24"/>
          <w:szCs w:val="24"/>
          <w:lang w:val="en-IN"/>
        </w:rPr>
        <w:t>“[…] the licensees having unconditionally accepted the migration package and having taken the benefit of the same are bound by the terms and conditions of the licence agreement and cannot be permitted to resile from the same”</w:t>
      </w:r>
      <w:r w:rsidR="00EB7C61" w:rsidRPr="00D015C4">
        <w:rPr>
          <w:rStyle w:val="FootnoteReference"/>
          <w:rFonts w:ascii="Bookman Old Style" w:hAnsi="Bookman Old Style"/>
          <w:iCs/>
          <w:sz w:val="24"/>
          <w:szCs w:val="24"/>
          <w:lang w:val="en-IN"/>
        </w:rPr>
        <w:footnoteReference w:id="9"/>
      </w:r>
    </w:p>
    <w:p w14:paraId="461B1781" w14:textId="3B4CF62A" w:rsidR="00D63EB7"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DoT’s position before the Supreme Court in Civil Appeal No.84/2007</w:t>
      </w:r>
      <w:r w:rsidR="003724FD" w:rsidRPr="00D015C4">
        <w:rPr>
          <w:rFonts w:ascii="Bookman Old Style" w:hAnsi="Bookman Old Style"/>
          <w:sz w:val="24"/>
          <w:szCs w:val="24"/>
        </w:rPr>
        <w:t>, in its</w:t>
      </w:r>
      <w:r w:rsidRPr="00D015C4">
        <w:rPr>
          <w:rFonts w:ascii="Bookman Old Style" w:hAnsi="Bookman Old Style"/>
          <w:sz w:val="24"/>
          <w:szCs w:val="24"/>
        </w:rPr>
        <w:t xml:space="preserve"> challenge</w:t>
      </w:r>
      <w:r w:rsidR="003724FD" w:rsidRPr="00D015C4">
        <w:rPr>
          <w:rFonts w:ascii="Bookman Old Style" w:hAnsi="Bookman Old Style"/>
          <w:sz w:val="24"/>
          <w:szCs w:val="24"/>
        </w:rPr>
        <w:t xml:space="preserve"> to</w:t>
      </w:r>
      <w:r w:rsidRPr="00D015C4">
        <w:rPr>
          <w:rFonts w:ascii="Bookman Old Style" w:hAnsi="Bookman Old Style"/>
          <w:sz w:val="24"/>
          <w:szCs w:val="24"/>
        </w:rPr>
        <w:t xml:space="preserve"> the</w:t>
      </w:r>
      <w:r w:rsidR="003724FD" w:rsidRPr="00D015C4">
        <w:rPr>
          <w:rFonts w:ascii="Bookman Old Style" w:hAnsi="Bookman Old Style"/>
          <w:sz w:val="24"/>
          <w:szCs w:val="24"/>
        </w:rPr>
        <w:t xml:space="preserve"> order of the</w:t>
      </w:r>
      <w:r w:rsidRPr="00D015C4">
        <w:rPr>
          <w:rFonts w:ascii="Bookman Old Style" w:hAnsi="Bookman Old Style"/>
          <w:sz w:val="24"/>
          <w:szCs w:val="24"/>
        </w:rPr>
        <w:t xml:space="preserve"> TDSAT 7.7.2006 </w:t>
      </w:r>
      <w:r w:rsidR="003724FD" w:rsidRPr="00D015C4">
        <w:rPr>
          <w:rFonts w:ascii="Bookman Old Style" w:hAnsi="Bookman Old Style"/>
          <w:sz w:val="24"/>
          <w:szCs w:val="24"/>
        </w:rPr>
        <w:t xml:space="preserve">remained the same. </w:t>
      </w:r>
      <w:r w:rsidRPr="00D015C4">
        <w:rPr>
          <w:rFonts w:ascii="Bookman Old Style" w:hAnsi="Bookman Old Style"/>
          <w:sz w:val="24"/>
          <w:szCs w:val="24"/>
        </w:rPr>
        <w:t>TRAI gave its recommendations regarding the definition of AGR, vide order dated 19.1.2007, the Supreme Court dismissed the civil appeal after giving liberty to the Central Government to urge all contentions raised in the civil appeal before the TDSAT.</w:t>
      </w:r>
    </w:p>
    <w:p w14:paraId="69DF0097" w14:textId="77777777" w:rsidR="000C1FF5"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Pursuant to the liberty </w:t>
      </w:r>
      <w:r w:rsidR="000C1FF5" w:rsidRPr="00D015C4">
        <w:rPr>
          <w:rFonts w:ascii="Bookman Old Style" w:hAnsi="Bookman Old Style"/>
          <w:sz w:val="24"/>
          <w:szCs w:val="24"/>
        </w:rPr>
        <w:t>granted</w:t>
      </w:r>
      <w:r w:rsidRPr="00D015C4">
        <w:rPr>
          <w:rFonts w:ascii="Bookman Old Style" w:hAnsi="Bookman Old Style"/>
          <w:sz w:val="24"/>
          <w:szCs w:val="24"/>
        </w:rPr>
        <w:t xml:space="preserve"> vide order dated 19.1.2007, and consistent with its earlier stance, the Central Government reiterated before the TDSAT that it was entitled to reopen the issue whether the validity of the definition of AGR in the Licence Agreement could be questioned before the Tribunal including the submission that AGR shall also include the revenue from activities outside the license.  However, the Central Government’s contentions were rejected by the TDSAT vide order dated 30.8.2007.</w:t>
      </w:r>
    </w:p>
    <w:p w14:paraId="1BA47159" w14:textId="3B4BE26B" w:rsidR="00D63EB7"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The Central Government </w:t>
      </w:r>
      <w:proofErr w:type="spellStart"/>
      <w:r w:rsidR="0083213B" w:rsidRPr="00D015C4">
        <w:rPr>
          <w:rFonts w:ascii="Bookman Old Style" w:hAnsi="Bookman Old Style"/>
          <w:sz w:val="24"/>
          <w:szCs w:val="24"/>
        </w:rPr>
        <w:t>therafter</w:t>
      </w:r>
      <w:proofErr w:type="spellEnd"/>
      <w:r w:rsidRPr="00D015C4">
        <w:rPr>
          <w:rFonts w:ascii="Bookman Old Style" w:hAnsi="Bookman Old Style"/>
          <w:sz w:val="24"/>
          <w:szCs w:val="24"/>
        </w:rPr>
        <w:t xml:space="preserve"> challenged the TDSAT’s order dated 30.8.2007 – which led to the decision of the Supreme Court in </w:t>
      </w:r>
      <w:r w:rsidR="0083213B" w:rsidRPr="00D015C4">
        <w:rPr>
          <w:rFonts w:ascii="Bookman Old Style" w:hAnsi="Bookman Old Style"/>
          <w:b/>
          <w:i/>
          <w:sz w:val="24"/>
          <w:szCs w:val="24"/>
        </w:rPr>
        <w:t xml:space="preserve">Association of Unified Telecom Service Providers of India </w:t>
      </w:r>
      <w:r w:rsidR="0083213B" w:rsidRPr="00D015C4">
        <w:rPr>
          <w:rFonts w:ascii="Bookman Old Style" w:hAnsi="Bookman Old Style"/>
          <w:bCs/>
          <w:iCs/>
          <w:sz w:val="24"/>
          <w:szCs w:val="24"/>
        </w:rPr>
        <w:t>(supra)</w:t>
      </w:r>
      <w:r w:rsidRPr="00D015C4">
        <w:rPr>
          <w:rFonts w:ascii="Bookman Old Style" w:hAnsi="Bookman Old Style"/>
          <w:sz w:val="24"/>
          <w:szCs w:val="24"/>
        </w:rPr>
        <w:t xml:space="preserve">.  </w:t>
      </w:r>
      <w:r w:rsidR="0083213B" w:rsidRPr="00D015C4">
        <w:rPr>
          <w:rFonts w:ascii="Bookman Old Style" w:hAnsi="Bookman Old Style"/>
          <w:sz w:val="24"/>
          <w:szCs w:val="24"/>
        </w:rPr>
        <w:lastRenderedPageBreak/>
        <w:t>Wherein</w:t>
      </w:r>
      <w:r w:rsidRPr="00D015C4">
        <w:rPr>
          <w:rFonts w:ascii="Bookman Old Style" w:hAnsi="Bookman Old Style"/>
          <w:sz w:val="24"/>
          <w:szCs w:val="24"/>
        </w:rPr>
        <w:t xml:space="preserve"> the Central Government </w:t>
      </w:r>
      <w:r w:rsidR="0083213B" w:rsidRPr="00D015C4">
        <w:rPr>
          <w:rFonts w:ascii="Bookman Old Style" w:hAnsi="Bookman Old Style"/>
          <w:sz w:val="24"/>
          <w:szCs w:val="24"/>
        </w:rPr>
        <w:t>stood embedded in its stance by asserting that the TDSAT</w:t>
      </w:r>
      <w:r w:rsidRPr="00D015C4">
        <w:rPr>
          <w:rFonts w:ascii="Bookman Old Style" w:hAnsi="Bookman Old Style"/>
          <w:sz w:val="24"/>
          <w:szCs w:val="24"/>
        </w:rPr>
        <w:t xml:space="preserve"> failed to appreciate that licence fee or payment made under the licence agreement is really in the nature of price or consideration for parting with the exclusive privilege of the Central Government and is binding on the Central Government and the licensee and the licensee having signed the contract and agreed to the terms and conditions therein including the payment to be made cannot question the terms of the payment before the Tribunal. </w:t>
      </w:r>
    </w:p>
    <w:p w14:paraId="14167132" w14:textId="240316B8" w:rsidR="0083213B" w:rsidRPr="00D015C4" w:rsidRDefault="0083213B"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It was put forth by the Central Government </w:t>
      </w:r>
      <w:r w:rsidR="00D63EB7" w:rsidRPr="00D015C4">
        <w:rPr>
          <w:rFonts w:ascii="Bookman Old Style" w:hAnsi="Bookman Old Style"/>
          <w:sz w:val="24"/>
          <w:szCs w:val="24"/>
        </w:rPr>
        <w:t>that the definitions of gross revenue and adjusted gross revenue are part of the package comprising the terms and conditions of the licence and a licensee cannot take the licence on the one hand and dispute the definitions of gross revenue and adjusted gross revenue on the other hand.</w:t>
      </w:r>
    </w:p>
    <w:p w14:paraId="0E9D2546" w14:textId="649773D5" w:rsidR="00D63EB7"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 </w:t>
      </w:r>
      <w:r w:rsidR="0083213B" w:rsidRPr="00D015C4">
        <w:rPr>
          <w:rFonts w:ascii="Bookman Old Style" w:hAnsi="Bookman Old Style"/>
          <w:sz w:val="24"/>
          <w:szCs w:val="24"/>
        </w:rPr>
        <w:t>It was also the Submission of the Central Government</w:t>
      </w:r>
      <w:r w:rsidRPr="00D015C4">
        <w:rPr>
          <w:rFonts w:ascii="Bookman Old Style" w:hAnsi="Bookman Old Style"/>
          <w:sz w:val="24"/>
          <w:szCs w:val="24"/>
        </w:rPr>
        <w:t xml:space="preserve"> that if the licensee wants to operate the telecom licence he has to accept the definitions of gross revenue and adjusted gross revenue for the purpose of computing the fee that he will</w:t>
      </w:r>
      <w:r w:rsidR="0083213B" w:rsidRPr="00D015C4">
        <w:rPr>
          <w:rFonts w:ascii="Bookman Old Style" w:hAnsi="Bookman Old Style"/>
          <w:sz w:val="24"/>
          <w:szCs w:val="24"/>
        </w:rPr>
        <w:t>, accordingly</w:t>
      </w:r>
      <w:r w:rsidRPr="00D015C4">
        <w:rPr>
          <w:rFonts w:ascii="Bookman Old Style" w:hAnsi="Bookman Old Style"/>
          <w:sz w:val="24"/>
          <w:szCs w:val="24"/>
        </w:rPr>
        <w:t xml:space="preserve"> have to pay for the licence to the Central Government. </w:t>
      </w:r>
      <w:r w:rsidR="0083213B" w:rsidRPr="00D015C4">
        <w:rPr>
          <w:rFonts w:ascii="Bookman Old Style" w:hAnsi="Bookman Old Style"/>
          <w:sz w:val="24"/>
          <w:szCs w:val="24"/>
        </w:rPr>
        <w:t>This contention of the Central government was based on the premise</w:t>
      </w:r>
      <w:r w:rsidRPr="00D015C4">
        <w:rPr>
          <w:rFonts w:ascii="Bookman Old Style" w:hAnsi="Bookman Old Style"/>
          <w:sz w:val="24"/>
          <w:szCs w:val="24"/>
        </w:rPr>
        <w:t xml:space="preserve"> </w:t>
      </w:r>
      <w:r w:rsidR="00D86DDE" w:rsidRPr="00D015C4">
        <w:rPr>
          <w:rFonts w:ascii="Bookman Old Style" w:hAnsi="Bookman Old Style"/>
          <w:sz w:val="24"/>
          <w:szCs w:val="24"/>
        </w:rPr>
        <w:t xml:space="preserve">that </w:t>
      </w:r>
      <w:r w:rsidRPr="00D015C4">
        <w:rPr>
          <w:rFonts w:ascii="Bookman Old Style" w:hAnsi="Bookman Old Style"/>
          <w:sz w:val="24"/>
          <w:szCs w:val="24"/>
        </w:rPr>
        <w:t xml:space="preserve">a person taking advantage under an </w:t>
      </w:r>
      <w:proofErr w:type="gramStart"/>
      <w:r w:rsidRPr="00D015C4">
        <w:rPr>
          <w:rFonts w:ascii="Bookman Old Style" w:hAnsi="Bookman Old Style"/>
          <w:sz w:val="24"/>
          <w:szCs w:val="24"/>
        </w:rPr>
        <w:t>instrument which</w:t>
      </w:r>
      <w:proofErr w:type="gramEnd"/>
      <w:r w:rsidRPr="00D015C4">
        <w:rPr>
          <w:rFonts w:ascii="Bookman Old Style" w:hAnsi="Bookman Old Style"/>
          <w:sz w:val="24"/>
          <w:szCs w:val="24"/>
        </w:rPr>
        <w:t xml:space="preserve"> both grants a benefit </w:t>
      </w:r>
      <w:r w:rsidR="009C092A" w:rsidRPr="00D015C4">
        <w:rPr>
          <w:rFonts w:ascii="Bookman Old Style" w:hAnsi="Bookman Old Style"/>
          <w:sz w:val="24"/>
          <w:szCs w:val="24"/>
        </w:rPr>
        <w:t>as well as</w:t>
      </w:r>
      <w:r w:rsidRPr="00D015C4">
        <w:rPr>
          <w:rFonts w:ascii="Bookman Old Style" w:hAnsi="Bookman Old Style"/>
          <w:sz w:val="24"/>
          <w:szCs w:val="24"/>
        </w:rPr>
        <w:t xml:space="preserve"> imposes </w:t>
      </w:r>
      <w:r w:rsidR="009C092A" w:rsidRPr="00D015C4">
        <w:rPr>
          <w:rFonts w:ascii="Bookman Old Style" w:hAnsi="Bookman Old Style"/>
          <w:sz w:val="24"/>
          <w:szCs w:val="24"/>
        </w:rPr>
        <w:t>a</w:t>
      </w:r>
      <w:r w:rsidRPr="00D015C4">
        <w:rPr>
          <w:rFonts w:ascii="Bookman Old Style" w:hAnsi="Bookman Old Style"/>
          <w:sz w:val="24"/>
          <w:szCs w:val="24"/>
        </w:rPr>
        <w:t xml:space="preserve"> burden, cannot take the benefit without discharging the burden.</w:t>
      </w:r>
    </w:p>
    <w:p w14:paraId="3DAB9BE9" w14:textId="46F2981D" w:rsidR="00D63EB7"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In </w:t>
      </w:r>
      <w:r w:rsidR="00796239" w:rsidRPr="00D015C4">
        <w:rPr>
          <w:rFonts w:ascii="Bookman Old Style" w:hAnsi="Bookman Old Style"/>
          <w:b/>
          <w:i/>
          <w:sz w:val="24"/>
          <w:szCs w:val="24"/>
        </w:rPr>
        <w:t xml:space="preserve">Association of Unified Telecom Service Providers of India </w:t>
      </w:r>
      <w:r w:rsidR="00796239" w:rsidRPr="00D015C4">
        <w:rPr>
          <w:rFonts w:ascii="Bookman Old Style" w:hAnsi="Bookman Old Style"/>
          <w:bCs/>
          <w:iCs/>
          <w:sz w:val="24"/>
          <w:szCs w:val="24"/>
        </w:rPr>
        <w:t>(supra)</w:t>
      </w:r>
      <w:r w:rsidR="00796239" w:rsidRPr="00D015C4">
        <w:rPr>
          <w:rFonts w:ascii="Bookman Old Style" w:hAnsi="Bookman Old Style"/>
          <w:sz w:val="24"/>
          <w:szCs w:val="24"/>
        </w:rPr>
        <w:t xml:space="preserve">, </w:t>
      </w:r>
      <w:r w:rsidRPr="00D015C4">
        <w:rPr>
          <w:rFonts w:ascii="Bookman Old Style" w:hAnsi="Bookman Old Style"/>
          <w:sz w:val="24"/>
          <w:szCs w:val="24"/>
        </w:rPr>
        <w:t xml:space="preserve">the Supreme Court clearly recorded that DoT had rejected </w:t>
      </w:r>
      <w:r w:rsidR="00796239" w:rsidRPr="00D015C4">
        <w:rPr>
          <w:rFonts w:ascii="Bookman Old Style" w:hAnsi="Bookman Old Style"/>
          <w:sz w:val="24"/>
          <w:szCs w:val="24"/>
        </w:rPr>
        <w:t xml:space="preserve">the recommendations of </w:t>
      </w:r>
      <w:r w:rsidRPr="00D015C4">
        <w:rPr>
          <w:rFonts w:ascii="Bookman Old Style" w:hAnsi="Bookman Old Style"/>
          <w:sz w:val="24"/>
          <w:szCs w:val="24"/>
        </w:rPr>
        <w:t xml:space="preserve">TRAI regarding the definition and components of </w:t>
      </w:r>
      <w:r w:rsidRPr="00D015C4">
        <w:rPr>
          <w:rFonts w:ascii="Bookman Old Style" w:hAnsi="Bookman Old Style"/>
          <w:sz w:val="24"/>
          <w:szCs w:val="24"/>
        </w:rPr>
        <w:lastRenderedPageBreak/>
        <w:t>AGR for the purpose of determining license fees</w:t>
      </w:r>
      <w:r w:rsidR="00796239" w:rsidRPr="00D015C4">
        <w:rPr>
          <w:rFonts w:ascii="Bookman Old Style" w:hAnsi="Bookman Old Style"/>
          <w:sz w:val="24"/>
          <w:szCs w:val="24"/>
        </w:rPr>
        <w:t>. While so opining the Court observed thus:</w:t>
      </w:r>
    </w:p>
    <w:p w14:paraId="7B891D4C" w14:textId="72006227" w:rsidR="00D63EB7" w:rsidRPr="00D015C4" w:rsidRDefault="00D63EB7" w:rsidP="00690E46">
      <w:pPr>
        <w:pStyle w:val="ListParagraph"/>
        <w:spacing w:after="200" w:line="240" w:lineRule="auto"/>
        <w:ind w:left="851" w:right="851"/>
        <w:contextualSpacing w:val="0"/>
        <w:jc w:val="both"/>
        <w:rPr>
          <w:rFonts w:ascii="Bookman Old Style" w:hAnsi="Bookman Old Style"/>
          <w:iCs/>
          <w:sz w:val="24"/>
          <w:szCs w:val="24"/>
          <w:lang w:val="en-IN"/>
        </w:rPr>
      </w:pPr>
      <w:r w:rsidRPr="00D015C4">
        <w:rPr>
          <w:rFonts w:ascii="Bookman Old Style" w:hAnsi="Bookman Old Style"/>
          <w:iCs/>
          <w:sz w:val="24"/>
          <w:szCs w:val="24"/>
          <w:lang w:val="en-IN"/>
        </w:rPr>
        <w:t>“[…] In our considered opinion, if the Tribunal found that there was no effective consultation with TRAI on the opinion of the expert on accountancy, the Tribunal could have at best, if it had the jurisdiction to decide the dispute, directed TRAI to consider the opinion of the expert on accountancy and send its</w:t>
      </w:r>
      <w:r w:rsidR="00796239" w:rsidRPr="00D015C4">
        <w:rPr>
          <w:rFonts w:ascii="Bookman Old Style" w:hAnsi="Bookman Old Style"/>
          <w:iCs/>
          <w:sz w:val="24"/>
          <w:szCs w:val="24"/>
          <w:lang w:val="en-IN"/>
        </w:rPr>
        <w:t xml:space="preserve"> </w:t>
      </w:r>
      <w:r w:rsidRPr="00D015C4">
        <w:rPr>
          <w:rFonts w:ascii="Bookman Old Style" w:hAnsi="Bookman Old Style"/>
          <w:iCs/>
          <w:sz w:val="24"/>
          <w:szCs w:val="24"/>
          <w:lang w:val="en-IN"/>
        </w:rPr>
        <w:t xml:space="preserve">recommendations to the Central Government and directed the Central Government to consider such fresh recommendations of TRAI as provided in the provisos to Section 11(1) of the TRAI Act. Instead the Tribunal has considered the recommendations of TRAI and passed the impugned fresh order dated 30-8-2007 contrary to the very provisions of Section 11(1)(a) of the TRAI Act and the provisos thereto. </w:t>
      </w:r>
      <w:r w:rsidRPr="00D015C4">
        <w:rPr>
          <w:rFonts w:ascii="Bookman Old Style" w:hAnsi="Bookman Old Style"/>
          <w:iCs/>
          <w:sz w:val="24"/>
          <w:szCs w:val="24"/>
          <w:u w:val="single"/>
          <w:lang w:val="en-IN"/>
        </w:rPr>
        <w:t xml:space="preserve">At any rate, as the Central Government has already considered the fresh recommendations of TRAI and has not accepted the same and is not agreeable to alter the definition of adjusted gross revenue, the decision of the Central Government on the point was final </w:t>
      </w:r>
      <w:r w:rsidRPr="00D015C4">
        <w:rPr>
          <w:rFonts w:ascii="Bookman Old Style" w:hAnsi="Bookman Old Style"/>
          <w:iCs/>
          <w:sz w:val="24"/>
          <w:szCs w:val="24"/>
          <w:lang w:val="en-IN"/>
        </w:rPr>
        <w:t xml:space="preserve">under the first proviso and the fifth proviso to Section 11(1) of the TRAI Act, 1997.”  </w:t>
      </w:r>
    </w:p>
    <w:p w14:paraId="13C260C4" w14:textId="27FD960D" w:rsidR="00796239" w:rsidRPr="00D015C4" w:rsidRDefault="00796239" w:rsidP="00690E46">
      <w:pPr>
        <w:pStyle w:val="ListParagraph"/>
        <w:spacing w:after="200" w:line="240" w:lineRule="auto"/>
        <w:ind w:left="851" w:right="851"/>
        <w:contextualSpacing w:val="0"/>
        <w:jc w:val="right"/>
        <w:rPr>
          <w:rFonts w:ascii="Bookman Old Style" w:hAnsi="Bookman Old Style"/>
          <w:iCs/>
          <w:sz w:val="24"/>
          <w:szCs w:val="24"/>
          <w:lang w:val="en-IN"/>
        </w:rPr>
      </w:pPr>
      <w:r w:rsidRPr="00D015C4">
        <w:rPr>
          <w:rFonts w:ascii="Bookman Old Style" w:hAnsi="Bookman Old Style"/>
          <w:iCs/>
          <w:sz w:val="24"/>
          <w:szCs w:val="24"/>
          <w:lang w:val="en-IN"/>
        </w:rPr>
        <w:t>[Emphasis Added]</w:t>
      </w:r>
    </w:p>
    <w:p w14:paraId="66576774" w14:textId="24EA10D5" w:rsidR="00D63EB7" w:rsidRPr="00D015C4" w:rsidRDefault="00D63EB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After the decision of the Supreme Court in </w:t>
      </w:r>
      <w:bookmarkStart w:id="4" w:name="_Hlk24638460"/>
      <w:r w:rsidR="00F4609B" w:rsidRPr="00D015C4">
        <w:rPr>
          <w:rFonts w:ascii="Bookman Old Style" w:hAnsi="Bookman Old Style"/>
          <w:b/>
          <w:i/>
          <w:sz w:val="24"/>
          <w:szCs w:val="24"/>
        </w:rPr>
        <w:t xml:space="preserve">Association of Unified Telecom Service Providers of India </w:t>
      </w:r>
      <w:r w:rsidR="00F4609B" w:rsidRPr="00D015C4">
        <w:rPr>
          <w:rFonts w:ascii="Bookman Old Style" w:hAnsi="Bookman Old Style"/>
          <w:bCs/>
          <w:iCs/>
          <w:sz w:val="24"/>
          <w:szCs w:val="24"/>
        </w:rPr>
        <w:t>(supra)</w:t>
      </w:r>
      <w:bookmarkEnd w:id="4"/>
      <w:r w:rsidRPr="00D015C4">
        <w:rPr>
          <w:rFonts w:ascii="Bookman Old Style" w:hAnsi="Bookman Old Style"/>
          <w:sz w:val="24"/>
          <w:szCs w:val="24"/>
        </w:rPr>
        <w:t>, the TSPs challenged several demand notices raised by the DoT before the TDSAT.</w:t>
      </w:r>
      <w:r w:rsidR="00FC65F9" w:rsidRPr="00D015C4">
        <w:rPr>
          <w:rFonts w:ascii="Bookman Old Style" w:hAnsi="Bookman Old Style"/>
          <w:sz w:val="24"/>
          <w:szCs w:val="24"/>
        </w:rPr>
        <w:t xml:space="preserve"> </w:t>
      </w:r>
      <w:r w:rsidRPr="00D015C4">
        <w:rPr>
          <w:rFonts w:ascii="Bookman Old Style" w:hAnsi="Bookman Old Style"/>
          <w:sz w:val="24"/>
          <w:szCs w:val="24"/>
        </w:rPr>
        <w:t xml:space="preserve">As noted by the TDSAT in its </w:t>
      </w:r>
      <w:proofErr w:type="gramStart"/>
      <w:r w:rsidRPr="00D015C4">
        <w:rPr>
          <w:rFonts w:ascii="Bookman Old Style" w:hAnsi="Bookman Old Style"/>
          <w:sz w:val="24"/>
          <w:szCs w:val="24"/>
        </w:rPr>
        <w:t>judgment</w:t>
      </w:r>
      <w:r w:rsidR="00F4609B" w:rsidRPr="00D015C4">
        <w:rPr>
          <w:rStyle w:val="FootnoteReference"/>
          <w:rFonts w:ascii="Bookman Old Style" w:hAnsi="Bookman Old Style"/>
          <w:sz w:val="24"/>
          <w:szCs w:val="24"/>
        </w:rPr>
        <w:footnoteReference w:id="10"/>
      </w:r>
      <w:r w:rsidRPr="00D015C4">
        <w:rPr>
          <w:rFonts w:ascii="Bookman Old Style" w:hAnsi="Bookman Old Style"/>
          <w:sz w:val="24"/>
          <w:szCs w:val="24"/>
        </w:rPr>
        <w:t xml:space="preserve"> dated</w:t>
      </w:r>
      <w:proofErr w:type="gramEnd"/>
      <w:r w:rsidRPr="00D015C4">
        <w:rPr>
          <w:rFonts w:ascii="Bookman Old Style" w:hAnsi="Bookman Old Style"/>
          <w:sz w:val="24"/>
          <w:szCs w:val="24"/>
        </w:rPr>
        <w:t xml:space="preserve"> 23.4.2015</w:t>
      </w:r>
      <w:r w:rsidRPr="00D015C4">
        <w:rPr>
          <w:rFonts w:ascii="Bookman Old Style" w:hAnsi="Bookman Old Style"/>
          <w:sz w:val="24"/>
          <w:szCs w:val="24"/>
        </w:rPr>
        <w:fldChar w:fldCharType="begin"/>
      </w:r>
      <w:r w:rsidRPr="00D015C4">
        <w:rPr>
          <w:rFonts w:ascii="Bookman Old Style" w:hAnsi="Bookman Old Style"/>
          <w:sz w:val="24"/>
          <w:szCs w:val="24"/>
        </w:rPr>
        <w:instrText xml:space="preserve"> TA \l "the TDSAT in its judgment dated 23.4.2015" \s "the TDSAT in its judgment dated 23.4.2015" \c 1 </w:instrText>
      </w:r>
      <w:r w:rsidRPr="00D015C4">
        <w:rPr>
          <w:rFonts w:ascii="Bookman Old Style" w:hAnsi="Bookman Old Style"/>
          <w:sz w:val="24"/>
          <w:szCs w:val="24"/>
        </w:rPr>
        <w:fldChar w:fldCharType="end"/>
      </w:r>
      <w:r w:rsidRPr="00D015C4">
        <w:rPr>
          <w:rFonts w:ascii="Bookman Old Style" w:hAnsi="Bookman Old Style"/>
          <w:sz w:val="24"/>
          <w:szCs w:val="24"/>
        </w:rPr>
        <w:t>,</w:t>
      </w:r>
      <w:r w:rsidR="00F4609B" w:rsidRPr="00D015C4">
        <w:rPr>
          <w:rFonts w:ascii="Bookman Old Style" w:hAnsi="Bookman Old Style"/>
          <w:sz w:val="24"/>
          <w:szCs w:val="24"/>
        </w:rPr>
        <w:t xml:space="preserve"> the stand and stance of</w:t>
      </w:r>
      <w:r w:rsidRPr="00D015C4">
        <w:rPr>
          <w:rFonts w:ascii="Bookman Old Style" w:hAnsi="Bookman Old Style"/>
          <w:sz w:val="24"/>
          <w:szCs w:val="24"/>
        </w:rPr>
        <w:t xml:space="preserve"> the Central Government</w:t>
      </w:r>
      <w:r w:rsidR="00F4609B" w:rsidRPr="00D015C4">
        <w:rPr>
          <w:rFonts w:ascii="Bookman Old Style" w:hAnsi="Bookman Old Style"/>
          <w:sz w:val="24"/>
          <w:szCs w:val="24"/>
        </w:rPr>
        <w:t>, with regard to the meaning and import of the</w:t>
      </w:r>
      <w:r w:rsidRPr="00D015C4">
        <w:rPr>
          <w:rFonts w:ascii="Bookman Old Style" w:hAnsi="Bookman Old Style"/>
          <w:sz w:val="24"/>
          <w:szCs w:val="24"/>
        </w:rPr>
        <w:t xml:space="preserve"> term AGR </w:t>
      </w:r>
      <w:r w:rsidR="00F4609B" w:rsidRPr="00D015C4">
        <w:rPr>
          <w:rFonts w:ascii="Bookman Old Style" w:hAnsi="Bookman Old Style"/>
          <w:sz w:val="24"/>
          <w:szCs w:val="24"/>
        </w:rPr>
        <w:t xml:space="preserve">remained unchanged. </w:t>
      </w:r>
      <w:r w:rsidR="00FC65F9" w:rsidRPr="00D015C4">
        <w:rPr>
          <w:rFonts w:ascii="Bookman Old Style" w:hAnsi="Bookman Old Style"/>
          <w:sz w:val="24"/>
          <w:szCs w:val="24"/>
        </w:rPr>
        <w:t xml:space="preserve">It was contended on behalf of the Central Government that the </w:t>
      </w:r>
      <w:r w:rsidR="005309D9" w:rsidRPr="00D015C4">
        <w:rPr>
          <w:rFonts w:ascii="Bookman Old Style" w:hAnsi="Bookman Old Style"/>
          <w:sz w:val="24"/>
          <w:szCs w:val="24"/>
        </w:rPr>
        <w:t xml:space="preserve">term “revenue” is ostensibly defined in the licence agreement in a very expansive way and, accordingly, for arriving at the AGR, only three specified items are to be deducted. It was also submitted on behalf of the Central Government that under the licence </w:t>
      </w:r>
      <w:r w:rsidR="005309D9" w:rsidRPr="00D015C4">
        <w:rPr>
          <w:rFonts w:ascii="Bookman Old Style" w:hAnsi="Bookman Old Style"/>
          <w:sz w:val="24"/>
          <w:szCs w:val="24"/>
        </w:rPr>
        <w:lastRenderedPageBreak/>
        <w:t xml:space="preserve">agreement “revenue” is to be calculated on accrual basis whereas the three deductions for computing the AGR are permissible on actual basis. </w:t>
      </w:r>
    </w:p>
    <w:p w14:paraId="4497982D" w14:textId="77777777" w:rsidR="00AC5D20" w:rsidRPr="00D015C4" w:rsidRDefault="005309D9"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To buttress its stand regarding the expansive and wide import of AGR, it was argued on behalf of the Central Government that since the term </w:t>
      </w:r>
      <w:r w:rsidR="00D63EB7" w:rsidRPr="00D015C4">
        <w:rPr>
          <w:rFonts w:ascii="Bookman Old Style" w:hAnsi="Bookman Old Style"/>
          <w:sz w:val="24"/>
          <w:szCs w:val="24"/>
        </w:rPr>
        <w:t>‘revenue’ in clause 19.1 of the licence agreement</w:t>
      </w:r>
      <w:r w:rsidR="00ED4223" w:rsidRPr="00D015C4">
        <w:rPr>
          <w:rFonts w:ascii="Bookman Old Style" w:hAnsi="Bookman Old Style"/>
          <w:sz w:val="24"/>
          <w:szCs w:val="24"/>
        </w:rPr>
        <w:t>,</w:t>
      </w:r>
      <w:r w:rsidR="00D63EB7" w:rsidRPr="00D015C4">
        <w:rPr>
          <w:rFonts w:ascii="Bookman Old Style" w:hAnsi="Bookman Old Style"/>
          <w:sz w:val="24"/>
          <w:szCs w:val="24"/>
        </w:rPr>
        <w:t xml:space="preserve"> </w:t>
      </w:r>
      <w:r w:rsidR="00ED4223" w:rsidRPr="00D015C4">
        <w:rPr>
          <w:rFonts w:ascii="Bookman Old Style" w:hAnsi="Bookman Old Style"/>
          <w:sz w:val="24"/>
          <w:szCs w:val="24"/>
        </w:rPr>
        <w:t xml:space="preserve">occurs </w:t>
      </w:r>
      <w:r w:rsidR="00D63EB7" w:rsidRPr="00D015C4">
        <w:rPr>
          <w:rFonts w:ascii="Bookman Old Style" w:hAnsi="Bookman Old Style"/>
          <w:sz w:val="24"/>
          <w:szCs w:val="24"/>
        </w:rPr>
        <w:t>jointly with the word “gross</w:t>
      </w:r>
      <w:r w:rsidR="00ED4223" w:rsidRPr="00D015C4">
        <w:rPr>
          <w:rFonts w:ascii="Bookman Old Style" w:hAnsi="Bookman Old Style"/>
          <w:sz w:val="24"/>
          <w:szCs w:val="24"/>
        </w:rPr>
        <w:t>”, it</w:t>
      </w:r>
      <w:r w:rsidR="00D63EB7" w:rsidRPr="00D015C4">
        <w:rPr>
          <w:rFonts w:ascii="Bookman Old Style" w:hAnsi="Bookman Old Style"/>
          <w:sz w:val="24"/>
          <w:szCs w:val="24"/>
        </w:rPr>
        <w:t xml:space="preserve"> enlarge</w:t>
      </w:r>
      <w:r w:rsidR="00ED4223" w:rsidRPr="00D015C4">
        <w:rPr>
          <w:rFonts w:ascii="Bookman Old Style" w:hAnsi="Bookman Old Style"/>
          <w:sz w:val="24"/>
          <w:szCs w:val="24"/>
        </w:rPr>
        <w:t>s</w:t>
      </w:r>
      <w:r w:rsidR="00D63EB7" w:rsidRPr="00D015C4">
        <w:rPr>
          <w:rFonts w:ascii="Bookman Old Style" w:hAnsi="Bookman Old Style"/>
          <w:sz w:val="24"/>
          <w:szCs w:val="24"/>
        </w:rPr>
        <w:t xml:space="preserve"> the meaning of the latter term</w:t>
      </w:r>
      <w:r w:rsidR="00ED4223" w:rsidRPr="00D015C4">
        <w:rPr>
          <w:rFonts w:ascii="Bookman Old Style" w:hAnsi="Bookman Old Style"/>
          <w:sz w:val="24"/>
          <w:szCs w:val="24"/>
        </w:rPr>
        <w:t>, that is, ‘Revenue’</w:t>
      </w:r>
      <w:r w:rsidR="00D63EB7" w:rsidRPr="00D015C4">
        <w:rPr>
          <w:rFonts w:ascii="Bookman Old Style" w:hAnsi="Bookman Old Style"/>
          <w:sz w:val="24"/>
          <w:szCs w:val="24"/>
        </w:rPr>
        <w:t xml:space="preserve"> and</w:t>
      </w:r>
      <w:r w:rsidR="00ED4223" w:rsidRPr="00D015C4">
        <w:rPr>
          <w:rFonts w:ascii="Bookman Old Style" w:hAnsi="Bookman Old Style"/>
          <w:sz w:val="24"/>
          <w:szCs w:val="24"/>
        </w:rPr>
        <w:t>, therefore,</w:t>
      </w:r>
      <w:r w:rsidR="00D63EB7" w:rsidRPr="00D015C4">
        <w:rPr>
          <w:rFonts w:ascii="Bookman Old Style" w:hAnsi="Bookman Old Style"/>
          <w:sz w:val="24"/>
          <w:szCs w:val="24"/>
        </w:rPr>
        <w:t xml:space="preserve"> would bring into its fold inflows/entries that otherwise might not be considered as revenue.</w:t>
      </w:r>
    </w:p>
    <w:p w14:paraId="6BBD3CC9" w14:textId="00D3BD3D" w:rsidR="00FF57C1" w:rsidRPr="00D015C4" w:rsidRDefault="00AC5D20"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It was categorically submitted on behalf of the Central Government </w:t>
      </w:r>
      <w:r w:rsidR="00D63EB7" w:rsidRPr="00D015C4">
        <w:rPr>
          <w:rFonts w:ascii="Bookman Old Style" w:hAnsi="Bookman Old Style"/>
          <w:sz w:val="24"/>
          <w:szCs w:val="24"/>
        </w:rPr>
        <w:t xml:space="preserve">that the stand of the DoT </w:t>
      </w:r>
      <w:r w:rsidR="00DC2381" w:rsidRPr="00D015C4">
        <w:rPr>
          <w:rFonts w:ascii="Bookman Old Style" w:hAnsi="Bookman Old Style"/>
          <w:sz w:val="24"/>
          <w:szCs w:val="24"/>
        </w:rPr>
        <w:t>has been</w:t>
      </w:r>
      <w:r w:rsidR="00D63EB7" w:rsidRPr="00D015C4">
        <w:rPr>
          <w:rFonts w:ascii="Bookman Old Style" w:hAnsi="Bookman Old Style"/>
          <w:sz w:val="24"/>
          <w:szCs w:val="24"/>
        </w:rPr>
        <w:t xml:space="preserve"> unambiguous </w:t>
      </w:r>
      <w:r w:rsidR="00DC2381" w:rsidRPr="00D015C4">
        <w:rPr>
          <w:rFonts w:ascii="Bookman Old Style" w:hAnsi="Bookman Old Style"/>
          <w:sz w:val="24"/>
          <w:szCs w:val="24"/>
        </w:rPr>
        <w:t>to the effect</w:t>
      </w:r>
      <w:r w:rsidR="00D63EB7" w:rsidRPr="00D015C4">
        <w:rPr>
          <w:rFonts w:ascii="Bookman Old Style" w:hAnsi="Bookman Old Style"/>
          <w:sz w:val="24"/>
          <w:szCs w:val="24"/>
        </w:rPr>
        <w:t xml:space="preserve"> that any entry in the profit and loss account of the company must be understood as revenue</w:t>
      </w:r>
      <w:r w:rsidR="000A15B5" w:rsidRPr="00D015C4">
        <w:rPr>
          <w:rFonts w:ascii="Bookman Old Style" w:hAnsi="Bookman Old Style"/>
          <w:sz w:val="24"/>
          <w:szCs w:val="24"/>
        </w:rPr>
        <w:t xml:space="preserve"> and </w:t>
      </w:r>
      <w:r w:rsidR="00D63EB7" w:rsidRPr="00D015C4">
        <w:rPr>
          <w:rFonts w:ascii="Bookman Old Style" w:hAnsi="Bookman Old Style"/>
          <w:sz w:val="24"/>
          <w:szCs w:val="24"/>
        </w:rPr>
        <w:t>that the total revenue of the company is understood as the sum of revenue from operations and other income</w:t>
      </w:r>
      <w:r w:rsidR="00FF57C1" w:rsidRPr="00D015C4">
        <w:rPr>
          <w:rFonts w:ascii="Bookman Old Style" w:hAnsi="Bookman Old Style"/>
          <w:sz w:val="24"/>
          <w:szCs w:val="24"/>
        </w:rPr>
        <w:t xml:space="preserve"> and</w:t>
      </w:r>
      <w:r w:rsidR="00D63EB7" w:rsidRPr="00D015C4">
        <w:rPr>
          <w:rFonts w:ascii="Bookman Old Style" w:hAnsi="Bookman Old Style"/>
          <w:sz w:val="24"/>
          <w:szCs w:val="24"/>
        </w:rPr>
        <w:t xml:space="preserve">, therefore, any income of the company shown in the profit and loss account (as ‘other income’) is undoubtedly revenue. </w:t>
      </w:r>
      <w:r w:rsidR="00FF57C1" w:rsidRPr="00D015C4">
        <w:rPr>
          <w:rFonts w:ascii="Bookman Old Style" w:hAnsi="Bookman Old Style"/>
          <w:sz w:val="24"/>
          <w:szCs w:val="24"/>
        </w:rPr>
        <w:t xml:space="preserve">Further, it was submitted that even </w:t>
      </w:r>
      <w:r w:rsidR="00D63EB7" w:rsidRPr="00D015C4">
        <w:rPr>
          <w:rFonts w:ascii="Bookman Old Style" w:hAnsi="Bookman Old Style"/>
          <w:sz w:val="24"/>
          <w:szCs w:val="24"/>
        </w:rPr>
        <w:t>the license agreement draws a clear link between the profit and loss account and determination of revenue.</w:t>
      </w:r>
    </w:p>
    <w:p w14:paraId="647D10AC" w14:textId="77777777" w:rsidR="00FF57C1" w:rsidRPr="00D015C4" w:rsidRDefault="00FF57C1"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Besides, the Central Government contended </w:t>
      </w:r>
      <w:r w:rsidR="00D63EB7" w:rsidRPr="00D015C4">
        <w:rPr>
          <w:rFonts w:ascii="Bookman Old Style" w:hAnsi="Bookman Old Style"/>
          <w:sz w:val="24"/>
          <w:szCs w:val="24"/>
        </w:rPr>
        <w:t xml:space="preserve">that the expression ‘other income’, in Part II of Schedule VI, as understood in the ‘General Instructions for Preparation of Statement of Profit and Loss Account’ includes interest income, dividend income, gains and loss on sale of investment and non-operating income. </w:t>
      </w:r>
      <w:r w:rsidRPr="00D015C4">
        <w:rPr>
          <w:rFonts w:ascii="Bookman Old Style" w:hAnsi="Bookman Old Style"/>
          <w:sz w:val="24"/>
          <w:szCs w:val="24"/>
        </w:rPr>
        <w:t>T</w:t>
      </w:r>
      <w:r w:rsidR="00D63EB7" w:rsidRPr="00D015C4">
        <w:rPr>
          <w:rFonts w:ascii="Bookman Old Style" w:hAnsi="Bookman Old Style"/>
          <w:sz w:val="24"/>
          <w:szCs w:val="24"/>
        </w:rPr>
        <w:t xml:space="preserve">herefore, revenue must be understood and recognized as projected in the profit and loss account. However, since the contract provides for an exhaustive list of deductions, </w:t>
      </w:r>
      <w:r w:rsidR="00D63EB7" w:rsidRPr="00D015C4">
        <w:rPr>
          <w:rFonts w:ascii="Bookman Old Style" w:hAnsi="Bookman Old Style"/>
          <w:sz w:val="24"/>
          <w:szCs w:val="24"/>
        </w:rPr>
        <w:lastRenderedPageBreak/>
        <w:t>and also clearly states that ‘without any set-off for related items of expense’, all income, including ‘other income’ for the purposes of AGR must be reckoned as gross amounts, without any deductions for loss or expenditure</w:t>
      </w:r>
      <w:r w:rsidRPr="00D015C4">
        <w:rPr>
          <w:rFonts w:ascii="Bookman Old Style" w:hAnsi="Bookman Old Style"/>
          <w:sz w:val="24"/>
          <w:szCs w:val="24"/>
        </w:rPr>
        <w:t xml:space="preserve">. </w:t>
      </w:r>
    </w:p>
    <w:p w14:paraId="2EF6D173" w14:textId="16847325" w:rsidR="00F20F46" w:rsidRPr="00D015C4" w:rsidRDefault="00FF57C1"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That apart, the decision of the </w:t>
      </w:r>
      <w:r w:rsidR="0033330C" w:rsidRPr="00D015C4">
        <w:rPr>
          <w:rFonts w:ascii="Bookman Old Style" w:hAnsi="Bookman Old Style"/>
          <w:sz w:val="24"/>
          <w:szCs w:val="24"/>
        </w:rPr>
        <w:t xml:space="preserve">Supreme Court in </w:t>
      </w:r>
      <w:r w:rsidR="0033330C" w:rsidRPr="00D015C4">
        <w:rPr>
          <w:rFonts w:ascii="Bookman Old Style" w:hAnsi="Bookman Old Style"/>
          <w:b/>
          <w:bCs/>
          <w:i/>
          <w:iCs/>
          <w:sz w:val="24"/>
          <w:szCs w:val="24"/>
        </w:rPr>
        <w:t xml:space="preserve">Association of Unified Telecom Service Providers of India </w:t>
      </w:r>
      <w:r w:rsidR="0033330C" w:rsidRPr="00D015C4">
        <w:rPr>
          <w:rFonts w:ascii="Bookman Old Style" w:hAnsi="Bookman Old Style"/>
          <w:sz w:val="24"/>
          <w:szCs w:val="24"/>
        </w:rPr>
        <w:t xml:space="preserve">(supra) pointedly mentions regarding </w:t>
      </w:r>
      <w:r w:rsidR="00D63EB7" w:rsidRPr="00D015C4">
        <w:rPr>
          <w:rFonts w:ascii="Bookman Old Style" w:hAnsi="Bookman Old Style"/>
          <w:sz w:val="24"/>
          <w:szCs w:val="24"/>
        </w:rPr>
        <w:t xml:space="preserve">the consistent </w:t>
      </w:r>
      <w:r w:rsidR="0033330C" w:rsidRPr="00D015C4">
        <w:rPr>
          <w:rFonts w:ascii="Bookman Old Style" w:hAnsi="Bookman Old Style"/>
          <w:sz w:val="24"/>
          <w:szCs w:val="24"/>
        </w:rPr>
        <w:t xml:space="preserve">stand </w:t>
      </w:r>
      <w:r w:rsidR="00EC5050" w:rsidRPr="00D015C4">
        <w:rPr>
          <w:rFonts w:ascii="Bookman Old Style" w:hAnsi="Bookman Old Style"/>
          <w:sz w:val="24"/>
          <w:szCs w:val="24"/>
        </w:rPr>
        <w:t>of</w:t>
      </w:r>
      <w:r w:rsidR="00D63EB7" w:rsidRPr="00D015C4">
        <w:rPr>
          <w:rFonts w:ascii="Bookman Old Style" w:hAnsi="Bookman Old Style"/>
          <w:sz w:val="24"/>
          <w:szCs w:val="24"/>
        </w:rPr>
        <w:t xml:space="preserve"> Central Government</w:t>
      </w:r>
      <w:r w:rsidR="00EC5050" w:rsidRPr="00D015C4">
        <w:rPr>
          <w:rFonts w:ascii="Bookman Old Style" w:hAnsi="Bookman Old Style"/>
          <w:sz w:val="24"/>
          <w:szCs w:val="24"/>
        </w:rPr>
        <w:t xml:space="preserve">, by clearly observing that </w:t>
      </w:r>
      <w:proofErr w:type="gramStart"/>
      <w:r w:rsidR="00D63EB7" w:rsidRPr="00D015C4">
        <w:rPr>
          <w:rFonts w:ascii="Bookman Old Style" w:hAnsi="Bookman Old Style"/>
          <w:sz w:val="24"/>
          <w:szCs w:val="24"/>
        </w:rPr>
        <w:t>DOT  ha</w:t>
      </w:r>
      <w:r w:rsidR="00EC5050" w:rsidRPr="00D015C4">
        <w:rPr>
          <w:rFonts w:ascii="Bookman Old Style" w:hAnsi="Bookman Old Style"/>
          <w:sz w:val="24"/>
          <w:szCs w:val="24"/>
        </w:rPr>
        <w:t>d</w:t>
      </w:r>
      <w:proofErr w:type="gramEnd"/>
      <w:r w:rsidR="00D63EB7" w:rsidRPr="00D015C4">
        <w:rPr>
          <w:rFonts w:ascii="Bookman Old Style" w:hAnsi="Bookman Old Style"/>
          <w:sz w:val="24"/>
          <w:szCs w:val="24"/>
        </w:rPr>
        <w:t xml:space="preserve">   urged   that   the   Central Government</w:t>
      </w:r>
      <w:r w:rsidR="00EC5050" w:rsidRPr="00D015C4">
        <w:rPr>
          <w:rFonts w:ascii="Bookman Old Style" w:hAnsi="Bookman Old Style"/>
          <w:sz w:val="24"/>
          <w:szCs w:val="24"/>
        </w:rPr>
        <w:t xml:space="preserve"> </w:t>
      </w:r>
      <w:r w:rsidR="00D63EB7" w:rsidRPr="00D015C4">
        <w:rPr>
          <w:rFonts w:ascii="Bookman Old Style" w:hAnsi="Bookman Old Style"/>
          <w:sz w:val="24"/>
          <w:szCs w:val="24"/>
        </w:rPr>
        <w:t>has exclusive privilege under</w:t>
      </w:r>
      <w:r w:rsidR="00EC5050" w:rsidRPr="00D015C4">
        <w:rPr>
          <w:rFonts w:ascii="Bookman Old Style" w:hAnsi="Bookman Old Style"/>
          <w:sz w:val="24"/>
          <w:szCs w:val="24"/>
        </w:rPr>
        <w:t xml:space="preserve"> </w:t>
      </w:r>
      <w:r w:rsidR="00D63EB7" w:rsidRPr="00D015C4">
        <w:rPr>
          <w:rFonts w:ascii="Bookman Old Style" w:hAnsi="Bookman Old Style"/>
          <w:sz w:val="24"/>
          <w:szCs w:val="24"/>
        </w:rPr>
        <w:t>section 4 of the Telegraph Act; thus, it is bound to get the best price for</w:t>
      </w:r>
      <w:r w:rsidR="00EC5050" w:rsidRPr="00D015C4">
        <w:rPr>
          <w:rFonts w:ascii="Bookman Old Style" w:hAnsi="Bookman Old Style"/>
          <w:sz w:val="24"/>
          <w:szCs w:val="24"/>
        </w:rPr>
        <w:t xml:space="preserve"> </w:t>
      </w:r>
      <w:r w:rsidR="00D63EB7" w:rsidRPr="00D015C4">
        <w:rPr>
          <w:rFonts w:ascii="Bookman Old Style" w:hAnsi="Bookman Old Style"/>
          <w:sz w:val="24"/>
          <w:szCs w:val="24"/>
        </w:rPr>
        <w:t>natural resources</w:t>
      </w:r>
      <w:r w:rsidR="00EC5050" w:rsidRPr="00D015C4">
        <w:rPr>
          <w:rFonts w:ascii="Bookman Old Style" w:hAnsi="Bookman Old Style"/>
          <w:sz w:val="24"/>
          <w:szCs w:val="24"/>
        </w:rPr>
        <w:t xml:space="preserve">, for parting </w:t>
      </w:r>
      <w:r w:rsidR="00D63EB7" w:rsidRPr="00D015C4">
        <w:rPr>
          <w:rFonts w:ascii="Bookman Old Style" w:hAnsi="Bookman Old Style"/>
          <w:sz w:val="24"/>
          <w:szCs w:val="24"/>
        </w:rPr>
        <w:t>with the exclusive privilege</w:t>
      </w:r>
      <w:r w:rsidR="00EC5050" w:rsidRPr="00D015C4">
        <w:rPr>
          <w:rFonts w:ascii="Bookman Old Style" w:hAnsi="Bookman Old Style"/>
          <w:sz w:val="24"/>
          <w:szCs w:val="24"/>
        </w:rPr>
        <w:t xml:space="preserve"> </w:t>
      </w:r>
      <w:r w:rsidR="00D63EB7" w:rsidRPr="00D015C4">
        <w:rPr>
          <w:rFonts w:ascii="Bookman Old Style" w:hAnsi="Bookman Old Style"/>
          <w:sz w:val="24"/>
          <w:szCs w:val="24"/>
        </w:rPr>
        <w:t>under the revenue sharing regime is extremel</w:t>
      </w:r>
      <w:r w:rsidR="00EC5050" w:rsidRPr="00D015C4">
        <w:rPr>
          <w:rFonts w:ascii="Bookman Old Style" w:hAnsi="Bookman Old Style"/>
          <w:sz w:val="24"/>
          <w:szCs w:val="24"/>
        </w:rPr>
        <w:t>y</w:t>
      </w:r>
      <w:r w:rsidR="00D63EB7" w:rsidRPr="00D015C4">
        <w:rPr>
          <w:rFonts w:ascii="Bookman Old Style" w:hAnsi="Bookman Old Style"/>
          <w:sz w:val="24"/>
          <w:szCs w:val="24"/>
        </w:rPr>
        <w:t xml:space="preserve"> beneficial to the</w:t>
      </w:r>
      <w:r w:rsidR="00EC5050" w:rsidRPr="00D015C4">
        <w:rPr>
          <w:rFonts w:ascii="Bookman Old Style" w:hAnsi="Bookman Old Style"/>
          <w:sz w:val="24"/>
          <w:szCs w:val="24"/>
        </w:rPr>
        <w:t xml:space="preserve"> </w:t>
      </w:r>
      <w:r w:rsidR="00D63EB7" w:rsidRPr="00D015C4">
        <w:rPr>
          <w:rFonts w:ascii="Bookman Old Style" w:hAnsi="Bookman Old Style"/>
          <w:sz w:val="24"/>
          <w:szCs w:val="24"/>
        </w:rPr>
        <w:t>licensees. Thus, the State must get the price for its valuable right as mandated under Article 14.</w:t>
      </w:r>
    </w:p>
    <w:p w14:paraId="1E5A926A" w14:textId="4CF799CF" w:rsidR="00D63EB7" w:rsidRPr="00D015C4" w:rsidRDefault="00F20F46"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Thus, it is evincible that</w:t>
      </w:r>
      <w:r w:rsidR="00D63EB7" w:rsidRPr="00D015C4">
        <w:rPr>
          <w:rFonts w:ascii="Bookman Old Style" w:hAnsi="Bookman Old Style"/>
          <w:sz w:val="24"/>
          <w:szCs w:val="24"/>
        </w:rPr>
        <w:t xml:space="preserve"> the Central Government has a clear and consistent stand – (a) the definition of AGR in the license agreement is valid; (b) the said definition of AGR is of wide import and includes items of revenues from non-licensed activities; and (c) Save the specific deductions / exclusions mentioned in the license agreement, all other heads of revenue are to be included in the definition of AGR.  </w:t>
      </w:r>
    </w:p>
    <w:p w14:paraId="13AFA156" w14:textId="4EE5D4F4" w:rsidR="00D63EB7" w:rsidRPr="00357A41" w:rsidRDefault="00D63EB7" w:rsidP="00357A41">
      <w:pPr>
        <w:pStyle w:val="ListParagraph"/>
        <w:numPr>
          <w:ilvl w:val="0"/>
          <w:numId w:val="2"/>
        </w:numPr>
        <w:spacing w:after="200" w:line="480" w:lineRule="auto"/>
        <w:contextualSpacing w:val="0"/>
        <w:jc w:val="both"/>
        <w:rPr>
          <w:rFonts w:ascii="Bookman Old Style" w:hAnsi="Bookman Old Style"/>
          <w:sz w:val="24"/>
          <w:szCs w:val="24"/>
          <w:lang w:val="en-IN"/>
        </w:rPr>
      </w:pPr>
      <w:r w:rsidRPr="00357A41">
        <w:rPr>
          <w:rFonts w:ascii="Bookman Old Style" w:hAnsi="Bookman Old Style"/>
          <w:sz w:val="24"/>
          <w:szCs w:val="24"/>
          <w:lang w:val="en-IN"/>
        </w:rPr>
        <w:t xml:space="preserve">In view of the long-standing consistent position of the Central Government thus far (for nearly two decades), TSPs cannot – at this belated stage – be heard to contend that the Central </w:t>
      </w:r>
      <w:r w:rsidRPr="00357A41">
        <w:rPr>
          <w:rFonts w:ascii="Bookman Old Style" w:hAnsi="Bookman Old Style"/>
          <w:sz w:val="24"/>
          <w:szCs w:val="24"/>
        </w:rPr>
        <w:t>Government</w:t>
      </w:r>
      <w:r w:rsidRPr="00357A41">
        <w:rPr>
          <w:rFonts w:ascii="Bookman Old Style" w:hAnsi="Bookman Old Style"/>
          <w:sz w:val="24"/>
          <w:szCs w:val="24"/>
          <w:lang w:val="en-IN"/>
        </w:rPr>
        <w:t xml:space="preserve"> should grant relief by either waiving (or providing for a moratorium) on license fee dues.  Since agreeing to the migration package, the TSPs have had </w:t>
      </w:r>
      <w:r w:rsidRPr="00357A41">
        <w:rPr>
          <w:rFonts w:ascii="Bookman Old Style" w:hAnsi="Bookman Old Style"/>
          <w:sz w:val="24"/>
          <w:szCs w:val="24"/>
          <w:lang w:val="en-IN"/>
        </w:rPr>
        <w:lastRenderedPageBreak/>
        <w:t>the opportunity to arrange their affairs in an appropriate manner (including by providing for liabilities that may arise if DoT’s views were accepted by the Hon’ble Supreme Court).  Therefore, in light of the Central Government’s long</w:t>
      </w:r>
      <w:r w:rsidR="00721B01" w:rsidRPr="00357A41">
        <w:rPr>
          <w:rFonts w:ascii="Bookman Old Style" w:hAnsi="Bookman Old Style"/>
          <w:sz w:val="24"/>
          <w:szCs w:val="24"/>
          <w:lang w:val="en-IN"/>
        </w:rPr>
        <w:t>-</w:t>
      </w:r>
      <w:r w:rsidRPr="00357A41">
        <w:rPr>
          <w:rFonts w:ascii="Bookman Old Style" w:hAnsi="Bookman Old Style"/>
          <w:sz w:val="24"/>
          <w:szCs w:val="24"/>
          <w:lang w:val="en-IN"/>
        </w:rPr>
        <w:t>standing consistent position, after the decision of the Hon’ble Supreme Court in the SC Judgment, it would be impermissible in law for the Central Government to suddenly alter its stance and grant the waiver or any other relief sought for by COAI in its letters.</w:t>
      </w:r>
    </w:p>
    <w:p w14:paraId="1D43416B" w14:textId="5FDD27F0" w:rsidR="008E439F" w:rsidRPr="00D015C4" w:rsidRDefault="00357A41" w:rsidP="00690E46">
      <w:pPr>
        <w:pStyle w:val="ListParagraph"/>
        <w:spacing w:after="200" w:line="480" w:lineRule="auto"/>
        <w:ind w:left="360"/>
        <w:contextualSpacing w:val="0"/>
        <w:jc w:val="both"/>
        <w:rPr>
          <w:rFonts w:ascii="Bookman Old Style" w:hAnsi="Bookman Old Style"/>
          <w:b/>
          <w:bCs/>
          <w:sz w:val="24"/>
          <w:szCs w:val="24"/>
          <w:lang w:val="en-IN"/>
        </w:rPr>
      </w:pPr>
      <w:r>
        <w:rPr>
          <w:rFonts w:ascii="Bookman Old Style" w:hAnsi="Bookman Old Style"/>
          <w:b/>
          <w:bCs/>
          <w:sz w:val="24"/>
          <w:szCs w:val="24"/>
          <w:lang w:val="en-IN"/>
        </w:rPr>
        <w:t>B</w:t>
      </w:r>
      <w:r w:rsidR="008E439F" w:rsidRPr="00D015C4">
        <w:rPr>
          <w:rFonts w:ascii="Bookman Old Style" w:hAnsi="Bookman Old Style"/>
          <w:b/>
          <w:bCs/>
          <w:sz w:val="24"/>
          <w:szCs w:val="24"/>
          <w:lang w:val="en-IN"/>
        </w:rPr>
        <w:t>. Violation of Articles 14 and 19(1)(g) of the Constitution</w:t>
      </w:r>
    </w:p>
    <w:p w14:paraId="1DEC7A3D" w14:textId="77777777" w:rsidR="00034814" w:rsidRPr="00D015C4" w:rsidRDefault="00B20653"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Before delineating to the legal concept of waiver, it shall be fruitful</w:t>
      </w:r>
      <w:r w:rsidR="00903050" w:rsidRPr="00D015C4">
        <w:rPr>
          <w:rFonts w:ascii="Bookman Old Style" w:hAnsi="Bookman Old Style"/>
          <w:sz w:val="24"/>
          <w:szCs w:val="24"/>
          <w:lang w:val="en-IN"/>
        </w:rPr>
        <w:t xml:space="preserve"> here to allude to </w:t>
      </w:r>
      <w:r w:rsidRPr="00D015C4">
        <w:rPr>
          <w:rFonts w:ascii="Bookman Old Style" w:hAnsi="Bookman Old Style"/>
          <w:sz w:val="24"/>
          <w:szCs w:val="24"/>
          <w:lang w:val="en-IN"/>
        </w:rPr>
        <w:t>concept</w:t>
      </w:r>
      <w:r w:rsidR="00DD2122" w:rsidRPr="00D015C4">
        <w:rPr>
          <w:rFonts w:ascii="Bookman Old Style" w:hAnsi="Bookman Old Style"/>
          <w:sz w:val="24"/>
          <w:szCs w:val="24"/>
          <w:lang w:val="en-IN"/>
        </w:rPr>
        <w:t xml:space="preserve"> of level playing field as envisaged under Article 14 and Article 19(1)(g) of the Constitution of India. Article 14 of the Constitution of India embodies the fundamental right to equality. Any action of the Government must satisfy the principal requirements of Article 14, viz. treating persons similarly situated equally and grant of equal protection to them. Reasonableness and fairness are the “heart and soul” of Article 14</w:t>
      </w:r>
      <w:r w:rsidR="00DD2122" w:rsidRPr="00D015C4">
        <w:rPr>
          <w:rStyle w:val="FootnoteReference"/>
          <w:rFonts w:ascii="Bookman Old Style" w:hAnsi="Bookman Old Style"/>
          <w:sz w:val="24"/>
          <w:szCs w:val="24"/>
          <w:lang w:val="en-IN"/>
        </w:rPr>
        <w:footnoteReference w:id="11"/>
      </w:r>
      <w:r w:rsidR="00DD2122" w:rsidRPr="00D015C4">
        <w:rPr>
          <w:rFonts w:ascii="Bookman Old Style" w:hAnsi="Bookman Old Style"/>
          <w:sz w:val="24"/>
          <w:szCs w:val="24"/>
          <w:lang w:val="en-IN"/>
        </w:rPr>
        <w:t xml:space="preserve">. Article 19(1)(g) confers the fundamental right to carry on business to a company. A juxtaposed reading of these two provisions embody the doctrine of “level playing field”. </w:t>
      </w:r>
    </w:p>
    <w:p w14:paraId="66301C34" w14:textId="28E9A49F" w:rsidR="00DD2122" w:rsidRPr="00D015C4" w:rsidRDefault="00DD2122"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Any kind of waiver or relaxation by the Government of India of pending dues from a few TSPs will violate the doctrine of level playing field because it will discriminate against those TSPs which have paid </w:t>
      </w:r>
      <w:r w:rsidRPr="00D015C4">
        <w:rPr>
          <w:rFonts w:ascii="Bookman Old Style" w:hAnsi="Bookman Old Style"/>
          <w:sz w:val="24"/>
          <w:szCs w:val="24"/>
          <w:lang w:val="en-IN"/>
        </w:rPr>
        <w:lastRenderedPageBreak/>
        <w:t>their dues and, in some cases, fought through financial difficulties to make such payments. The Government cannot charge the full license fees from some TSPs and waive the fees fully or partially for other TSPs. Apart from being discriminatory, any such act would also fail to satisfy the test of reasonableness and legal certainty because those TSPs who fully paid their dues did so in order to avoid foreseeable late payment penalty and interest rates. A waiver or relaxation of dues from the Government for non-paying TSPs was never foreseeable and is hence unreasonable. Thus, even dehors the SC Order, any form of waiver would be unconstitutional.</w:t>
      </w:r>
      <w:r w:rsidRPr="00D015C4">
        <w:rPr>
          <w:sz w:val="24"/>
          <w:szCs w:val="24"/>
        </w:rPr>
        <w:t xml:space="preserve"> </w:t>
      </w:r>
    </w:p>
    <w:p w14:paraId="4574383A" w14:textId="3C456ED2" w:rsidR="00DD2122" w:rsidRPr="00D015C4" w:rsidRDefault="00034814"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Adumbrating upon the doctrine of level playing field the supreme Court</w:t>
      </w:r>
      <w:r w:rsidR="00DD2122" w:rsidRPr="00D015C4">
        <w:rPr>
          <w:rFonts w:ascii="Bookman Old Style" w:hAnsi="Bookman Old Style"/>
          <w:sz w:val="24"/>
          <w:szCs w:val="24"/>
          <w:lang w:val="en-IN"/>
        </w:rPr>
        <w:t xml:space="preserve"> in </w:t>
      </w:r>
      <w:r w:rsidR="00DD2122" w:rsidRPr="00D015C4">
        <w:rPr>
          <w:rFonts w:ascii="Bookman Old Style" w:hAnsi="Bookman Old Style"/>
          <w:b/>
          <w:bCs/>
          <w:i/>
          <w:iCs/>
          <w:sz w:val="24"/>
          <w:szCs w:val="24"/>
          <w:lang w:val="en-IN"/>
        </w:rPr>
        <w:t>Reliance Energy Ltd. v Maharashtra State Road Development Corpn. Ltd</w:t>
      </w:r>
      <w:r w:rsidR="00DD2122" w:rsidRPr="00D015C4">
        <w:rPr>
          <w:rFonts w:ascii="Bookman Old Style" w:hAnsi="Bookman Old Style"/>
          <w:sz w:val="24"/>
          <w:szCs w:val="24"/>
          <w:lang w:val="en-IN"/>
        </w:rPr>
        <w:t>.</w:t>
      </w:r>
      <w:r w:rsidRPr="00D015C4">
        <w:rPr>
          <w:rStyle w:val="FootnoteReference"/>
          <w:rFonts w:ascii="Bookman Old Style" w:hAnsi="Bookman Old Style"/>
          <w:sz w:val="24"/>
          <w:szCs w:val="24"/>
          <w:lang w:val="en-IN"/>
        </w:rPr>
        <w:footnoteReference w:id="12"/>
      </w:r>
      <w:r w:rsidR="00DD2122" w:rsidRPr="00D015C4">
        <w:rPr>
          <w:rFonts w:ascii="Bookman Old Style" w:hAnsi="Bookman Old Style"/>
          <w:sz w:val="24"/>
          <w:szCs w:val="24"/>
          <w:lang w:val="en-IN"/>
        </w:rPr>
        <w:fldChar w:fldCharType="begin"/>
      </w:r>
      <w:r w:rsidR="00DD2122" w:rsidRPr="00D015C4">
        <w:rPr>
          <w:rFonts w:ascii="Bookman Old Style" w:hAnsi="Bookman Old Style"/>
          <w:sz w:val="24"/>
          <w:szCs w:val="24"/>
          <w:lang w:val="en-IN"/>
        </w:rPr>
        <w:instrText xml:space="preserve"> TA \l "Reliance Energy Ltd. v. Maharashtra State Road Development Corpn. Ltd. (2007) 8 SCC 1" \s "Reliance Energy Ltd. v. Maharashtra State Road Development Corpn. Ltd. (2007) 8 SCC 1" \c 1 </w:instrText>
      </w:r>
      <w:r w:rsidR="00DD2122" w:rsidRPr="00D015C4">
        <w:rPr>
          <w:rFonts w:ascii="Bookman Old Style" w:hAnsi="Bookman Old Style"/>
          <w:sz w:val="24"/>
          <w:szCs w:val="24"/>
          <w:lang w:val="en-IN"/>
        </w:rPr>
        <w:fldChar w:fldCharType="end"/>
      </w:r>
      <w:r w:rsidR="00DD2122" w:rsidRPr="00D015C4">
        <w:rPr>
          <w:rFonts w:ascii="Bookman Old Style" w:hAnsi="Bookman Old Style"/>
          <w:sz w:val="24"/>
          <w:szCs w:val="24"/>
          <w:lang w:val="en-IN"/>
        </w:rPr>
        <w:t xml:space="preserve">, </w:t>
      </w:r>
      <w:r w:rsidRPr="00D015C4">
        <w:rPr>
          <w:rFonts w:ascii="Bookman Old Style" w:hAnsi="Bookman Old Style"/>
          <w:sz w:val="24"/>
          <w:szCs w:val="24"/>
          <w:lang w:val="en-IN"/>
        </w:rPr>
        <w:t>opined thus</w:t>
      </w:r>
      <w:r w:rsidR="00DD2122" w:rsidRPr="00D015C4">
        <w:rPr>
          <w:rFonts w:ascii="Bookman Old Style" w:hAnsi="Bookman Old Style"/>
          <w:sz w:val="24"/>
          <w:szCs w:val="24"/>
          <w:lang w:val="en-IN"/>
        </w:rPr>
        <w:t>:</w:t>
      </w:r>
    </w:p>
    <w:p w14:paraId="169DEED3" w14:textId="4A8EEEE8" w:rsidR="00DD2122" w:rsidRPr="00D015C4" w:rsidRDefault="00DD2122"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 economic reforms introduced after 1992 have brought in the concept of “globalisation”. </w:t>
      </w:r>
      <w:r w:rsidRPr="00D015C4">
        <w:rPr>
          <w:rFonts w:ascii="Bookman Old Style" w:hAnsi="Bookman Old Style"/>
          <w:sz w:val="24"/>
          <w:szCs w:val="24"/>
          <w:u w:val="single"/>
          <w:lang w:val="en-IN"/>
        </w:rPr>
        <w:t>Decisions or acts which result in unequal and discriminatory treatment, would violate the doctrine of “level playing field” embodied in Article 19(1)(g).</w:t>
      </w:r>
      <w:r w:rsidRPr="00D015C4">
        <w:rPr>
          <w:rFonts w:ascii="Bookman Old Style" w:hAnsi="Bookman Old Style"/>
          <w:sz w:val="24"/>
          <w:szCs w:val="24"/>
          <w:lang w:val="en-IN"/>
        </w:rPr>
        <w:t xml:space="preserve">.. There is one more aspect which needs to be mentioned in the matter of implementation of the aforestated doctrine of “level playing field”. According to Lord Goldsmith, commitment to the “rule of law” is the heart of parliamentary democracy. One of the important elements of the “rule of law” is legal certainty. </w:t>
      </w:r>
      <w:r w:rsidRPr="00D015C4">
        <w:rPr>
          <w:rFonts w:ascii="Bookman Old Style" w:hAnsi="Bookman Old Style"/>
          <w:sz w:val="24"/>
          <w:szCs w:val="24"/>
          <w:u w:val="single"/>
          <w:lang w:val="en-IN"/>
        </w:rPr>
        <w:t>Article 14 applies to government policies and if the policy or act of the Government, even in contractual matters, fails to satisfy the test of “reasonableness”, then such an act or decision would be unconstitutional.”</w:t>
      </w:r>
      <w:r w:rsidRPr="00D015C4">
        <w:rPr>
          <w:rFonts w:ascii="Bookman Old Style" w:hAnsi="Bookman Old Style"/>
          <w:sz w:val="24"/>
          <w:szCs w:val="24"/>
          <w:lang w:val="en-IN"/>
        </w:rPr>
        <w:t xml:space="preserve"> </w:t>
      </w:r>
    </w:p>
    <w:p w14:paraId="7B203C4A" w14:textId="1E1D5496" w:rsidR="00DD2122" w:rsidRPr="00D015C4" w:rsidRDefault="00391F7D" w:rsidP="00690E46">
      <w:pPr>
        <w:pStyle w:val="ListParagraph"/>
        <w:spacing w:after="200" w:line="240" w:lineRule="auto"/>
        <w:ind w:right="804"/>
        <w:contextualSpacing w:val="0"/>
        <w:jc w:val="right"/>
        <w:rPr>
          <w:rFonts w:ascii="Bookman Old Style" w:hAnsi="Bookman Old Style"/>
          <w:sz w:val="24"/>
          <w:szCs w:val="24"/>
          <w:lang w:val="en-IN"/>
        </w:rPr>
      </w:pPr>
      <w:r w:rsidRPr="00D015C4">
        <w:rPr>
          <w:rFonts w:ascii="Bookman Old Style" w:hAnsi="Bookman Old Style"/>
          <w:sz w:val="24"/>
          <w:szCs w:val="24"/>
          <w:lang w:val="en-IN"/>
        </w:rPr>
        <w:t>[</w:t>
      </w:r>
      <w:r w:rsidR="004951D6" w:rsidRPr="00D015C4">
        <w:rPr>
          <w:rFonts w:ascii="Bookman Old Style" w:hAnsi="Bookman Old Style"/>
          <w:sz w:val="24"/>
          <w:szCs w:val="24"/>
          <w:lang w:val="en-IN"/>
        </w:rPr>
        <w:t>E</w:t>
      </w:r>
      <w:r w:rsidRPr="00D015C4">
        <w:rPr>
          <w:rFonts w:ascii="Bookman Old Style" w:hAnsi="Bookman Old Style"/>
          <w:sz w:val="24"/>
          <w:szCs w:val="24"/>
          <w:lang w:val="en-IN"/>
        </w:rPr>
        <w:t>mphasis Added]</w:t>
      </w:r>
    </w:p>
    <w:p w14:paraId="5C5B5795" w14:textId="1A403773" w:rsidR="00851D64" w:rsidRPr="00D015C4" w:rsidRDefault="00B521F5" w:rsidP="00690E46">
      <w:pPr>
        <w:pStyle w:val="Heading1"/>
        <w:numPr>
          <w:ilvl w:val="0"/>
          <w:numId w:val="0"/>
        </w:numPr>
        <w:ind w:left="360"/>
        <w:rPr>
          <w:rFonts w:ascii="Bookman Old Style" w:hAnsi="Bookman Old Style"/>
          <w:i w:val="0"/>
          <w:iCs w:val="0"/>
          <w:smallCaps w:val="0"/>
          <w:lang w:val="en-IN"/>
        </w:rPr>
      </w:pPr>
      <w:r>
        <w:rPr>
          <w:rFonts w:ascii="Bookman Old Style" w:hAnsi="Bookman Old Style"/>
          <w:i w:val="0"/>
          <w:iCs w:val="0"/>
          <w:smallCaps w:val="0"/>
          <w:lang w:val="en-IN"/>
        </w:rPr>
        <w:t>C</w:t>
      </w:r>
      <w:r w:rsidR="00851D64" w:rsidRPr="00D015C4">
        <w:rPr>
          <w:rFonts w:ascii="Bookman Old Style" w:hAnsi="Bookman Old Style"/>
          <w:i w:val="0"/>
          <w:iCs w:val="0"/>
          <w:smallCaps w:val="0"/>
          <w:lang w:val="en-IN"/>
        </w:rPr>
        <w:t xml:space="preserve">. </w:t>
      </w:r>
      <w:r w:rsidR="007E02B4" w:rsidRPr="00D015C4">
        <w:rPr>
          <w:rFonts w:ascii="Bookman Old Style" w:hAnsi="Bookman Old Style"/>
          <w:i w:val="0"/>
          <w:iCs w:val="0"/>
          <w:smallCaps w:val="0"/>
          <w:lang w:val="en-IN"/>
        </w:rPr>
        <w:t>Doctrine of</w:t>
      </w:r>
      <w:r w:rsidR="00851D64" w:rsidRPr="00D015C4">
        <w:rPr>
          <w:rFonts w:ascii="Bookman Old Style" w:hAnsi="Bookman Old Style"/>
          <w:i w:val="0"/>
          <w:iCs w:val="0"/>
          <w:smallCaps w:val="0"/>
          <w:lang w:val="en-IN"/>
        </w:rPr>
        <w:t xml:space="preserve"> Waiver and </w:t>
      </w:r>
      <w:r w:rsidR="007E02B4" w:rsidRPr="00D015C4">
        <w:rPr>
          <w:rFonts w:ascii="Bookman Old Style" w:hAnsi="Bookman Old Style"/>
          <w:i w:val="0"/>
          <w:iCs w:val="0"/>
          <w:smallCaps w:val="0"/>
          <w:lang w:val="en-IN"/>
        </w:rPr>
        <w:t>its inapplicability</w:t>
      </w:r>
      <w:r w:rsidR="00851D64" w:rsidRPr="00D015C4">
        <w:rPr>
          <w:rFonts w:ascii="Bookman Old Style" w:hAnsi="Bookman Old Style"/>
          <w:i w:val="0"/>
          <w:iCs w:val="0"/>
          <w:smallCaps w:val="0"/>
          <w:lang w:val="en-IN"/>
        </w:rPr>
        <w:t xml:space="preserve"> in Cases Involving Public Interest</w:t>
      </w:r>
    </w:p>
    <w:p w14:paraId="1B1706FA" w14:textId="272B9B3F" w:rsidR="00CB3BAF" w:rsidRPr="00D015C4" w:rsidRDefault="00B20653" w:rsidP="00690E46">
      <w:pPr>
        <w:pStyle w:val="ListParagraph"/>
        <w:numPr>
          <w:ilvl w:val="0"/>
          <w:numId w:val="2"/>
        </w:numPr>
        <w:spacing w:after="200" w:line="480" w:lineRule="auto"/>
        <w:contextualSpacing w:val="0"/>
        <w:jc w:val="both"/>
        <w:rPr>
          <w:rFonts w:ascii="Bookman Old Style" w:hAnsi="Bookman Old Style"/>
          <w:b/>
          <w:bCs/>
          <w:i/>
          <w:iCs/>
          <w:sz w:val="24"/>
          <w:szCs w:val="24"/>
          <w:lang w:val="en-IN"/>
        </w:rPr>
      </w:pPr>
      <w:r w:rsidRPr="00D015C4">
        <w:rPr>
          <w:rFonts w:ascii="Bookman Old Style" w:hAnsi="Bookman Old Style"/>
          <w:sz w:val="24"/>
          <w:szCs w:val="24"/>
          <w:lang w:val="en-IN"/>
        </w:rPr>
        <w:lastRenderedPageBreak/>
        <w:t>Black’s Law Dictionary 8</w:t>
      </w:r>
      <w:r w:rsidR="007E02B4" w:rsidRPr="00D015C4">
        <w:rPr>
          <w:rFonts w:ascii="Bookman Old Style" w:hAnsi="Bookman Old Style"/>
          <w:sz w:val="24"/>
          <w:szCs w:val="24"/>
          <w:lang w:val="en-IN"/>
        </w:rPr>
        <w:t xml:space="preserve">th Edition </w:t>
      </w:r>
      <w:r w:rsidRPr="00D015C4">
        <w:rPr>
          <w:rFonts w:ascii="Bookman Old Style" w:hAnsi="Bookman Old Style"/>
          <w:sz w:val="24"/>
          <w:szCs w:val="24"/>
          <w:lang w:val="en-IN"/>
        </w:rPr>
        <w:t>defines waiver as “The voluntary relinquishment or abandonment –express or implied- of a legal right or advantage”.</w:t>
      </w:r>
      <w:r w:rsidR="007E02B4" w:rsidRPr="00D015C4">
        <w:rPr>
          <w:rFonts w:ascii="Bookman Old Style" w:hAnsi="Bookman Old Style"/>
          <w:sz w:val="24"/>
          <w:szCs w:val="24"/>
          <w:lang w:val="en-IN"/>
        </w:rPr>
        <w:t xml:space="preserve"> </w:t>
      </w:r>
    </w:p>
    <w:p w14:paraId="7F29D4C0" w14:textId="1CCDB7F6" w:rsidR="007E02B4" w:rsidRPr="00D015C4" w:rsidRDefault="007E02B4" w:rsidP="00690E46">
      <w:pPr>
        <w:pStyle w:val="ListParagraph"/>
        <w:numPr>
          <w:ilvl w:val="0"/>
          <w:numId w:val="2"/>
        </w:numPr>
        <w:spacing w:after="200" w:line="480" w:lineRule="auto"/>
        <w:contextualSpacing w:val="0"/>
        <w:jc w:val="both"/>
        <w:rPr>
          <w:rFonts w:ascii="Bookman Old Style" w:hAnsi="Bookman Old Style"/>
          <w:b/>
          <w:bCs/>
          <w:i/>
          <w:iCs/>
          <w:sz w:val="24"/>
          <w:szCs w:val="24"/>
          <w:lang w:val="en-IN"/>
        </w:rPr>
      </w:pPr>
      <w:r w:rsidRPr="00D015C4">
        <w:rPr>
          <w:rFonts w:ascii="Bookman Old Style" w:hAnsi="Bookman Old Style"/>
          <w:sz w:val="24"/>
          <w:szCs w:val="24"/>
          <w:lang w:val="en-IN"/>
        </w:rPr>
        <w:t xml:space="preserve">The concept of waiver has also been concretized by the Supreme Court in </w:t>
      </w:r>
      <w:r w:rsidRPr="00D015C4">
        <w:rPr>
          <w:rFonts w:ascii="Bookman Old Style" w:hAnsi="Bookman Old Style"/>
          <w:b/>
          <w:bCs/>
          <w:i/>
          <w:iCs/>
          <w:sz w:val="24"/>
          <w:szCs w:val="24"/>
          <w:lang w:val="en-IN"/>
        </w:rPr>
        <w:t>Krishna Bahadur v. Purna Theatre </w:t>
      </w:r>
      <w:r w:rsidRPr="00D015C4">
        <w:rPr>
          <w:rStyle w:val="FootnoteReference"/>
          <w:rFonts w:ascii="Bookman Old Style" w:hAnsi="Bookman Old Style"/>
          <w:b/>
          <w:bCs/>
          <w:i/>
          <w:iCs/>
          <w:sz w:val="24"/>
          <w:szCs w:val="24"/>
          <w:lang w:val="en-IN"/>
        </w:rPr>
        <w:footnoteReference w:id="13"/>
      </w:r>
      <w:r w:rsidRPr="00D015C4">
        <w:rPr>
          <w:rFonts w:ascii="Bookman Old Style" w:hAnsi="Bookman Old Style"/>
          <w:b/>
          <w:bCs/>
          <w:i/>
          <w:iCs/>
          <w:sz w:val="24"/>
          <w:szCs w:val="24"/>
          <w:lang w:val="en-IN"/>
        </w:rPr>
        <w:t xml:space="preserve">, </w:t>
      </w:r>
      <w:r w:rsidRPr="00D015C4">
        <w:rPr>
          <w:rFonts w:ascii="Bookman Old Style" w:hAnsi="Bookman Old Style"/>
          <w:sz w:val="24"/>
          <w:szCs w:val="24"/>
          <w:lang w:val="en-IN"/>
        </w:rPr>
        <w:t>wherein the Court observed thus:</w:t>
      </w:r>
    </w:p>
    <w:p w14:paraId="7377EC64" w14:textId="77777777" w:rsidR="007E02B4" w:rsidRPr="00D015C4" w:rsidRDefault="007E02B4"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“9. The principle of waiver although is akin to the principle of estoppel; the difference between the two, however, is that whereas estoppel is not a cause of action; it is a rule of evidence; waiver is contractual and may constitute a cause of action; it is an agreement between the parties and a party fully knowing of its rights has agreed not to assert a right for a consideration.</w:t>
      </w:r>
    </w:p>
    <w:p w14:paraId="5AB4B010" w14:textId="2BD48320" w:rsidR="007E02B4" w:rsidRPr="00D015C4" w:rsidRDefault="007E02B4" w:rsidP="00690E46">
      <w:pPr>
        <w:pStyle w:val="ListParagraph"/>
        <w:spacing w:after="200" w:line="240" w:lineRule="auto"/>
        <w:ind w:right="804"/>
        <w:contextualSpacing w:val="0"/>
        <w:jc w:val="both"/>
        <w:rPr>
          <w:rFonts w:ascii="Bookman Old Style" w:hAnsi="Bookman Old Style"/>
          <w:sz w:val="24"/>
          <w:szCs w:val="24"/>
          <w:u w:val="single"/>
          <w:lang w:val="en-IN"/>
        </w:rPr>
      </w:pPr>
      <w:r w:rsidRPr="00D015C4">
        <w:rPr>
          <w:rFonts w:ascii="Bookman Old Style" w:hAnsi="Bookman Old Style"/>
          <w:sz w:val="24"/>
          <w:szCs w:val="24"/>
          <w:u w:val="single"/>
          <w:lang w:val="en-IN"/>
        </w:rPr>
        <w:t>10. A right can be waived by the party for whose benefit certain requirements or conditions had been provided for by a statute subject to the condition that no public interest is involved therein. Whenever waiver is pleaded it is for the party pleading the same to show that an agreement waiving the right in consideration of some compromise came into being. Statutory right, however, may also be waived by his conduct.”</w:t>
      </w:r>
    </w:p>
    <w:p w14:paraId="12B73D71" w14:textId="1F528203" w:rsidR="007E02B4" w:rsidRPr="00D015C4" w:rsidRDefault="007E02B4" w:rsidP="00690E46">
      <w:pPr>
        <w:pStyle w:val="ListParagraph"/>
        <w:spacing w:after="200" w:line="240" w:lineRule="auto"/>
        <w:ind w:right="804"/>
        <w:contextualSpacing w:val="0"/>
        <w:jc w:val="right"/>
        <w:rPr>
          <w:rFonts w:ascii="Bookman Old Style" w:hAnsi="Bookman Old Style"/>
          <w:sz w:val="24"/>
          <w:szCs w:val="24"/>
          <w:lang w:val="en-IN"/>
        </w:rPr>
      </w:pPr>
      <w:r w:rsidRPr="00D015C4">
        <w:rPr>
          <w:rFonts w:ascii="Bookman Old Style" w:hAnsi="Bookman Old Style"/>
          <w:sz w:val="24"/>
          <w:szCs w:val="24"/>
          <w:lang w:val="en-IN"/>
        </w:rPr>
        <w:t>[Emphasis Added]</w:t>
      </w:r>
    </w:p>
    <w:p w14:paraId="4A75B089" w14:textId="1FF66A67" w:rsidR="007E02B4" w:rsidRPr="00D015C4" w:rsidRDefault="002F2DE5"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Thereafter, the supreme Court recently in </w:t>
      </w:r>
      <w:r w:rsidR="007E02B4" w:rsidRPr="00D015C4">
        <w:rPr>
          <w:rFonts w:ascii="Bookman Old Style" w:eastAsia="Times New Roman" w:hAnsi="Bookman Old Style" w:cs="Open Sans"/>
          <w:b/>
          <w:bCs/>
          <w:i/>
          <w:iCs/>
          <w:color w:val="000000"/>
          <w:sz w:val="24"/>
          <w:szCs w:val="24"/>
        </w:rPr>
        <w:t xml:space="preserve">All India Power Engineer Federation v. </w:t>
      </w:r>
      <w:proofErr w:type="spellStart"/>
      <w:r w:rsidR="007E02B4" w:rsidRPr="00D015C4">
        <w:rPr>
          <w:rFonts w:ascii="Bookman Old Style" w:eastAsia="Times New Roman" w:hAnsi="Bookman Old Style" w:cs="Open Sans"/>
          <w:b/>
          <w:bCs/>
          <w:i/>
          <w:iCs/>
          <w:color w:val="000000"/>
          <w:sz w:val="24"/>
          <w:szCs w:val="24"/>
        </w:rPr>
        <w:t>Sasan</w:t>
      </w:r>
      <w:proofErr w:type="spellEnd"/>
      <w:r w:rsidR="007E02B4" w:rsidRPr="00D015C4">
        <w:rPr>
          <w:rFonts w:ascii="Bookman Old Style" w:eastAsia="Times New Roman" w:hAnsi="Bookman Old Style" w:cs="Open Sans"/>
          <w:b/>
          <w:bCs/>
          <w:i/>
          <w:iCs/>
          <w:color w:val="000000"/>
          <w:sz w:val="24"/>
          <w:szCs w:val="24"/>
        </w:rPr>
        <w:t xml:space="preserve"> Power Ltd.</w:t>
      </w:r>
      <w:r w:rsidR="007E02B4" w:rsidRPr="00D015C4">
        <w:rPr>
          <w:rStyle w:val="FootnoteReference"/>
          <w:rFonts w:ascii="Bookman Old Style" w:eastAsia="Times New Roman" w:hAnsi="Bookman Old Style" w:cs="Open Sans"/>
          <w:b/>
          <w:bCs/>
          <w:i/>
          <w:iCs/>
          <w:color w:val="000000"/>
          <w:sz w:val="24"/>
          <w:szCs w:val="24"/>
        </w:rPr>
        <w:footnoteReference w:id="14"/>
      </w:r>
      <w:r w:rsidRPr="00D015C4">
        <w:rPr>
          <w:rFonts w:ascii="Bookman Old Style" w:eastAsia="Times New Roman" w:hAnsi="Bookman Old Style" w:cs="Open Sans"/>
          <w:b/>
          <w:bCs/>
          <w:i/>
          <w:iCs/>
          <w:color w:val="000000"/>
          <w:sz w:val="24"/>
          <w:szCs w:val="24"/>
        </w:rPr>
        <w:t xml:space="preserve">, </w:t>
      </w:r>
      <w:r w:rsidRPr="00D015C4">
        <w:rPr>
          <w:rFonts w:ascii="Bookman Old Style" w:eastAsia="Times New Roman" w:hAnsi="Bookman Old Style" w:cs="Open Sans"/>
          <w:color w:val="000000"/>
          <w:sz w:val="24"/>
          <w:szCs w:val="24"/>
        </w:rPr>
        <w:t xml:space="preserve">after quoting with approval the aforesaid observations of the Court in </w:t>
      </w:r>
      <w:r w:rsidRPr="00D015C4">
        <w:rPr>
          <w:rFonts w:ascii="Bookman Old Style" w:hAnsi="Bookman Old Style"/>
          <w:b/>
          <w:bCs/>
          <w:i/>
          <w:iCs/>
          <w:sz w:val="24"/>
          <w:szCs w:val="24"/>
          <w:lang w:val="en-IN"/>
        </w:rPr>
        <w:t>Krishna Bahadur </w:t>
      </w:r>
      <w:r w:rsidRPr="00D015C4">
        <w:rPr>
          <w:rFonts w:ascii="Bookman Old Style" w:hAnsi="Bookman Old Style"/>
          <w:sz w:val="24"/>
          <w:szCs w:val="24"/>
          <w:lang w:val="en-IN"/>
        </w:rPr>
        <w:t>(supra), held thus:</w:t>
      </w:r>
    </w:p>
    <w:p w14:paraId="263558E2" w14:textId="1D6007C7" w:rsidR="007E02B4" w:rsidRPr="00D015C4" w:rsidRDefault="002F2DE5"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w:t>
      </w:r>
      <w:r w:rsidR="007E02B4" w:rsidRPr="00D015C4">
        <w:rPr>
          <w:rFonts w:ascii="Bookman Old Style" w:hAnsi="Bookman Old Style"/>
          <w:sz w:val="24"/>
          <w:szCs w:val="24"/>
          <w:lang w:val="en-IN"/>
        </w:rPr>
        <w:t>25. It is thus clear that if there is any element of public interest involved, the court steps in to thwart any waiver which may be contrary to such public interest.</w:t>
      </w:r>
      <w:r w:rsidRPr="00D015C4">
        <w:rPr>
          <w:rFonts w:ascii="Bookman Old Style" w:hAnsi="Bookman Old Style"/>
          <w:sz w:val="24"/>
          <w:szCs w:val="24"/>
          <w:lang w:val="en-IN"/>
        </w:rPr>
        <w:t>”</w:t>
      </w:r>
    </w:p>
    <w:p w14:paraId="08172A40" w14:textId="4DF6FE7D" w:rsidR="00CB3BAF" w:rsidRPr="00D015C4" w:rsidRDefault="00CB3BAF"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But it is clear that if a waiver is to be accepted on the facts of this case, it would clearly impact the public interest, in that consumers would have to pay substantially more for electricity </w:t>
      </w:r>
      <w:r w:rsidRPr="00D015C4">
        <w:rPr>
          <w:rFonts w:ascii="Bookman Old Style" w:hAnsi="Bookman Old Style"/>
          <w:sz w:val="24"/>
          <w:szCs w:val="24"/>
          <w:lang w:val="en-IN"/>
        </w:rPr>
        <w:lastRenderedPageBreak/>
        <w:t xml:space="preserve">consumed by them. This being the case, on facts it may not be necessary to go to the Commission as had Sasan in fact met the parameters of Schedule 5 on 30th March, then as per Schedule 11, year one would in fact have been only for one day. </w:t>
      </w:r>
      <w:r w:rsidRPr="00D015C4">
        <w:rPr>
          <w:rFonts w:ascii="Bookman Old Style" w:hAnsi="Bookman Old Style"/>
          <w:sz w:val="24"/>
          <w:szCs w:val="24"/>
          <w:u w:val="single"/>
          <w:lang w:val="en-IN"/>
        </w:rPr>
        <w:t>However, any waiver of the requirement of Schedule 5 would definitely impact the generation of electricity at the mandated percentage of contracted capacity as also the amounts payable by consumers, and would therefore affect the public interest. This being the case, this is not a case covered by the judgments cited on behalf of Sasan, in particular the judgment of this Court in Commissioner of Customs, Bombay v. Virgo Steels Bombay, (2002) 4 SCC 316, in which it has been held that even the mandatory requirement of a statute can be waived by the party concerned, provided it is intended only for his benefit. This case would fall within the parameters of the other judgments referred to above, and would therefore be governed by judgments which state that any waiver of the requirements of Article 6.3 and Schedule 5 would ultimately impact consumer interest and therefore the public interest. Such waiver therefore cannot be allowed to pass muster on the facts of the present case.”</w:t>
      </w:r>
      <w:r w:rsidRPr="00D015C4">
        <w:rPr>
          <w:rFonts w:ascii="Bookman Old Style" w:hAnsi="Bookman Old Style"/>
          <w:sz w:val="24"/>
          <w:szCs w:val="24"/>
          <w:lang w:val="en-IN"/>
        </w:rPr>
        <w:t xml:space="preserve">  </w:t>
      </w:r>
    </w:p>
    <w:p w14:paraId="178DCEAA" w14:textId="5FAFF573" w:rsidR="00CB3BAF" w:rsidRPr="00D015C4" w:rsidRDefault="00CB3BAF" w:rsidP="00690E46">
      <w:pPr>
        <w:pStyle w:val="ListParagraph"/>
        <w:spacing w:after="200" w:line="240" w:lineRule="auto"/>
        <w:ind w:right="804"/>
        <w:contextualSpacing w:val="0"/>
        <w:jc w:val="right"/>
        <w:rPr>
          <w:rFonts w:ascii="Bookman Old Style" w:hAnsi="Bookman Old Style"/>
          <w:sz w:val="24"/>
          <w:szCs w:val="24"/>
          <w:lang w:val="en-IN"/>
        </w:rPr>
      </w:pPr>
      <w:r w:rsidRPr="00D015C4">
        <w:rPr>
          <w:rFonts w:ascii="Bookman Old Style" w:hAnsi="Bookman Old Style"/>
          <w:sz w:val="24"/>
          <w:szCs w:val="24"/>
          <w:lang w:val="en-IN"/>
        </w:rPr>
        <w:t>[Emphasis Added]</w:t>
      </w:r>
    </w:p>
    <w:p w14:paraId="08CA8BB3" w14:textId="78278FCC" w:rsidR="002F2DE5" w:rsidRPr="00D015C4" w:rsidRDefault="00F12896"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Thus, it would be legally vulnerable for the exchequer to grant waiver in matters where public interest is involved, for it would tantamount to loss to the public exchequer and accordingly the Court may step in set aside such an attempted waiver. </w:t>
      </w:r>
    </w:p>
    <w:p w14:paraId="6B0D6D6F" w14:textId="77777777" w:rsidR="002454F1" w:rsidRPr="00D015C4" w:rsidRDefault="002454F1"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Black’s Law Dictionary defines public interest as “1. The general welfare if the public that warrants recognition and protection. 2. Something in which the public as a whole has a stake; especially an interest that justifies governmental regulation.”</w:t>
      </w:r>
    </w:p>
    <w:p w14:paraId="442FA7B4" w14:textId="17C35F86" w:rsidR="00CB3BAF" w:rsidRPr="00D015C4" w:rsidRDefault="002454F1"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 Supreme Court </w:t>
      </w:r>
      <w:r w:rsidR="00CB3BAF" w:rsidRPr="00D015C4">
        <w:rPr>
          <w:rFonts w:ascii="Bookman Old Style" w:hAnsi="Bookman Old Style"/>
          <w:sz w:val="24"/>
          <w:szCs w:val="24"/>
          <w:lang w:val="en-IN"/>
        </w:rPr>
        <w:t xml:space="preserve">in </w:t>
      </w:r>
      <w:r w:rsidR="00CB3BAF" w:rsidRPr="00D015C4">
        <w:rPr>
          <w:rFonts w:ascii="Bookman Old Style" w:hAnsi="Bookman Old Style"/>
          <w:b/>
          <w:bCs/>
          <w:i/>
          <w:iCs/>
          <w:sz w:val="24"/>
          <w:szCs w:val="24"/>
          <w:lang w:val="en-IN"/>
        </w:rPr>
        <w:t>Indira Bai v Nand Kishor</w:t>
      </w:r>
      <w:r w:rsidR="00CB3BAF" w:rsidRPr="00D015C4">
        <w:rPr>
          <w:rStyle w:val="FootnoteReference"/>
          <w:rFonts w:ascii="Bookman Old Style" w:hAnsi="Bookman Old Style"/>
          <w:sz w:val="24"/>
          <w:szCs w:val="24"/>
          <w:lang w:val="en-IN"/>
        </w:rPr>
        <w:footnoteReference w:id="15"/>
      </w:r>
      <w:r w:rsidR="00CB3BAF" w:rsidRPr="00D015C4">
        <w:rPr>
          <w:rFonts w:ascii="Bookman Old Style" w:hAnsi="Bookman Old Style"/>
          <w:b/>
          <w:bCs/>
          <w:i/>
          <w:iCs/>
          <w:sz w:val="24"/>
          <w:szCs w:val="24"/>
          <w:lang w:val="en-IN"/>
        </w:rPr>
        <w:t xml:space="preserve">, </w:t>
      </w:r>
      <w:r w:rsidR="00CB3BAF" w:rsidRPr="00D015C4">
        <w:rPr>
          <w:rFonts w:ascii="Bookman Old Style" w:hAnsi="Bookman Old Style"/>
          <w:sz w:val="24"/>
          <w:szCs w:val="24"/>
          <w:lang w:val="en-IN"/>
        </w:rPr>
        <w:t>while determining what constitutes Public Interest</w:t>
      </w:r>
      <w:r w:rsidR="00CB3BAF" w:rsidRPr="00D015C4">
        <w:rPr>
          <w:rFonts w:ascii="Bookman Old Style" w:hAnsi="Bookman Old Style"/>
          <w:b/>
          <w:bCs/>
          <w:i/>
          <w:iCs/>
          <w:sz w:val="24"/>
          <w:szCs w:val="24"/>
          <w:lang w:val="en-IN"/>
        </w:rPr>
        <w:t xml:space="preserve"> </w:t>
      </w:r>
      <w:r w:rsidR="00CB3BAF" w:rsidRPr="00D015C4">
        <w:rPr>
          <w:rFonts w:ascii="Bookman Old Style" w:hAnsi="Bookman Old Style"/>
          <w:sz w:val="24"/>
          <w:szCs w:val="24"/>
          <w:lang w:val="en-IN"/>
        </w:rPr>
        <w:t>observed thus:</w:t>
      </w:r>
    </w:p>
    <w:p w14:paraId="1260592C" w14:textId="77777777" w:rsidR="00CB3BAF" w:rsidRPr="00D015C4" w:rsidRDefault="00CB3BAF"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 test to determine the nature of interest, namely, private or public is whether the right which is renunciated is the right of </w:t>
      </w:r>
      <w:r w:rsidRPr="00D015C4">
        <w:rPr>
          <w:rFonts w:ascii="Bookman Old Style" w:hAnsi="Bookman Old Style"/>
          <w:sz w:val="24"/>
          <w:szCs w:val="24"/>
          <w:lang w:val="en-IN"/>
        </w:rPr>
        <w:lastRenderedPageBreak/>
        <w:t xml:space="preserve">party alone or of the public also in the sense that the general welfare of the society is involved.”  </w:t>
      </w:r>
    </w:p>
    <w:p w14:paraId="11A93D5B" w14:textId="77777777" w:rsidR="00CB3BAF" w:rsidRPr="00D015C4" w:rsidRDefault="00CB3BAF"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In </w:t>
      </w:r>
      <w:r w:rsidR="00B20653" w:rsidRPr="00D015C4">
        <w:rPr>
          <w:rFonts w:ascii="Bookman Old Style" w:hAnsi="Bookman Old Style"/>
          <w:b/>
          <w:bCs/>
          <w:i/>
          <w:iCs/>
          <w:sz w:val="24"/>
          <w:szCs w:val="24"/>
          <w:lang w:val="en-IN"/>
        </w:rPr>
        <w:t>Bihar Public Service Commission v</w:t>
      </w:r>
      <w:r w:rsidRPr="00D015C4">
        <w:rPr>
          <w:rFonts w:ascii="Bookman Old Style" w:hAnsi="Bookman Old Style"/>
          <w:b/>
          <w:bCs/>
          <w:i/>
          <w:iCs/>
          <w:sz w:val="24"/>
          <w:szCs w:val="24"/>
          <w:lang w:val="en-IN"/>
        </w:rPr>
        <w:t>.</w:t>
      </w:r>
      <w:r w:rsidR="00B20653" w:rsidRPr="00D015C4">
        <w:rPr>
          <w:rFonts w:ascii="Bookman Old Style" w:hAnsi="Bookman Old Style"/>
          <w:b/>
          <w:bCs/>
          <w:i/>
          <w:iCs/>
          <w:sz w:val="24"/>
          <w:szCs w:val="24"/>
          <w:lang w:val="en-IN"/>
        </w:rPr>
        <w:t xml:space="preserve"> Saiyed Hussain Abbas Rizwi</w:t>
      </w:r>
      <w:r w:rsidRPr="00D015C4">
        <w:rPr>
          <w:rStyle w:val="FootnoteReference"/>
          <w:rFonts w:ascii="Bookman Old Style" w:hAnsi="Bookman Old Style"/>
          <w:b/>
          <w:bCs/>
          <w:i/>
          <w:iCs/>
          <w:sz w:val="24"/>
          <w:szCs w:val="24"/>
          <w:lang w:val="en-IN"/>
        </w:rPr>
        <w:footnoteReference w:id="16"/>
      </w:r>
      <w:r w:rsidR="00B20653" w:rsidRPr="00D015C4">
        <w:rPr>
          <w:rFonts w:ascii="Bookman Old Style" w:hAnsi="Bookman Old Style"/>
          <w:sz w:val="24"/>
          <w:szCs w:val="24"/>
          <w:lang w:val="en-IN"/>
        </w:rPr>
        <w:fldChar w:fldCharType="begin"/>
      </w:r>
      <w:r w:rsidR="00B20653" w:rsidRPr="00D015C4">
        <w:rPr>
          <w:rFonts w:ascii="Bookman Old Style" w:hAnsi="Bookman Old Style"/>
          <w:sz w:val="24"/>
          <w:szCs w:val="24"/>
          <w:lang w:val="en-IN"/>
        </w:rPr>
        <w:instrText xml:space="preserve"> TA \l "Bihar Public Service Commission v Saiyed Hussain Abbas Rizwi (2012) 13 SCC 61" \s "Bihar Public Service Commission v Saiyed Hussain Abbas Rizwi (2012) 13 SCC 61" \c 1 </w:instrText>
      </w:r>
      <w:r w:rsidR="00B20653" w:rsidRPr="00D015C4">
        <w:rPr>
          <w:rFonts w:ascii="Bookman Old Style" w:hAnsi="Bookman Old Style"/>
          <w:sz w:val="24"/>
          <w:szCs w:val="24"/>
          <w:lang w:val="en-IN"/>
        </w:rPr>
        <w:fldChar w:fldCharType="end"/>
      </w:r>
      <w:r w:rsidR="00B20653" w:rsidRPr="00D015C4">
        <w:rPr>
          <w:rFonts w:ascii="Bookman Old Style" w:hAnsi="Bookman Old Style"/>
          <w:sz w:val="24"/>
          <w:szCs w:val="24"/>
          <w:lang w:val="en-IN"/>
        </w:rPr>
        <w:t>, the Supreme Court</w:t>
      </w:r>
      <w:r w:rsidRPr="00D015C4">
        <w:rPr>
          <w:rFonts w:ascii="Bookman Old Style" w:hAnsi="Bookman Old Style"/>
          <w:sz w:val="24"/>
          <w:szCs w:val="24"/>
          <w:lang w:val="en-IN"/>
        </w:rPr>
        <w:t>, speaking in the same tone tenor opined thus:</w:t>
      </w:r>
    </w:p>
    <w:p w14:paraId="46E79BBC" w14:textId="47540FF2" w:rsidR="00B20653" w:rsidRPr="00D015C4" w:rsidRDefault="00CB3BAF" w:rsidP="00690E46">
      <w:pPr>
        <w:pStyle w:val="ListParagraph"/>
        <w:spacing w:after="200" w:line="240" w:lineRule="auto"/>
        <w:ind w:right="804"/>
        <w:contextualSpacing w:val="0"/>
        <w:jc w:val="both"/>
        <w:rPr>
          <w:sz w:val="24"/>
          <w:szCs w:val="24"/>
          <w:lang w:val="en-US"/>
        </w:rPr>
      </w:pPr>
      <w:r w:rsidRPr="00D015C4">
        <w:rPr>
          <w:rFonts w:ascii="Bookman Old Style" w:hAnsi="Bookman Old Style"/>
          <w:sz w:val="24"/>
          <w:szCs w:val="24"/>
          <w:lang w:val="en-IN"/>
        </w:rPr>
        <w:t xml:space="preserve"> </w:t>
      </w:r>
      <w:r w:rsidR="00B20653" w:rsidRPr="00D015C4">
        <w:rPr>
          <w:rFonts w:ascii="Bookman Old Style" w:hAnsi="Bookman Old Style"/>
          <w:sz w:val="24"/>
          <w:szCs w:val="24"/>
          <w:lang w:val="en-IN"/>
        </w:rPr>
        <w:t>“The expression ‘public interest’ has to be understood in its true connotation so as to give complete meaning to the relevant provisions of the Act. The expression ‘public interest’ must be viewed in its strict sense with all its exceptions so as to justify denial of a statutory exemption in terms of the Act. In its common parlance, the expression ‘public interest’, like ‘public purpose’, is not capable of any precise definition. It does not have a rigid meaning, is elastic and takes its colour from the statute in which it occurs, the concept varying with time and state of society and its needs. [State of Bihar v. Kameshwar Singh (AIR 1952 SC 252)]. It also means the general welfare of the public that warrants recommendation and protection; something in which the public as a whole has a stake [Black’s Law Dictionary (Eighth Edition)].”</w:t>
      </w:r>
      <w:r w:rsidR="00B20653" w:rsidRPr="00D015C4">
        <w:rPr>
          <w:sz w:val="24"/>
          <w:szCs w:val="24"/>
          <w:lang w:val="en-US"/>
        </w:rPr>
        <w:t xml:space="preserve">  </w:t>
      </w:r>
    </w:p>
    <w:p w14:paraId="7EF4A355" w14:textId="77777777" w:rsidR="00CB3BAF" w:rsidRPr="00D015C4" w:rsidRDefault="00CB3BAF" w:rsidP="00690E46">
      <w:pPr>
        <w:pStyle w:val="ListParagraph"/>
        <w:spacing w:after="200" w:line="240" w:lineRule="auto"/>
        <w:ind w:left="1701" w:right="805"/>
        <w:contextualSpacing w:val="0"/>
        <w:jc w:val="both"/>
        <w:rPr>
          <w:sz w:val="24"/>
          <w:szCs w:val="24"/>
          <w:lang w:val="en-US"/>
        </w:rPr>
      </w:pPr>
    </w:p>
    <w:p w14:paraId="0A27639B" w14:textId="77777777" w:rsidR="00685740" w:rsidRPr="00D015C4" w:rsidRDefault="00B71FEC"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Analysing auction of natural resources, such as Spectrum in the backdrop of Public Interest doctrine, it is axiomatic that th</w:t>
      </w:r>
      <w:r w:rsidR="00B20653" w:rsidRPr="00D015C4">
        <w:rPr>
          <w:rFonts w:ascii="Bookman Old Style" w:hAnsi="Bookman Old Style"/>
          <w:sz w:val="24"/>
          <w:szCs w:val="24"/>
          <w:lang w:val="en-IN"/>
        </w:rPr>
        <w:t>e levy of duty/fee as a consideration to part with</w:t>
      </w:r>
      <w:r w:rsidRPr="00D015C4">
        <w:rPr>
          <w:rFonts w:ascii="Bookman Old Style" w:hAnsi="Bookman Old Style"/>
          <w:sz w:val="24"/>
          <w:szCs w:val="24"/>
          <w:lang w:val="en-IN"/>
        </w:rPr>
        <w:t>,</w:t>
      </w:r>
      <w:r w:rsidR="00B20653" w:rsidRPr="00D015C4">
        <w:rPr>
          <w:rFonts w:ascii="Bookman Old Style" w:hAnsi="Bookman Old Style"/>
          <w:sz w:val="24"/>
          <w:szCs w:val="24"/>
          <w:lang w:val="en-IN"/>
        </w:rPr>
        <w:t xml:space="preserve"> the exclusive privilege of </w:t>
      </w:r>
      <w:r w:rsidRPr="00D015C4">
        <w:rPr>
          <w:rFonts w:ascii="Bookman Old Style" w:hAnsi="Bookman Old Style"/>
          <w:sz w:val="24"/>
          <w:szCs w:val="24"/>
          <w:lang w:val="en-IN"/>
        </w:rPr>
        <w:t>Union Government,</w:t>
      </w:r>
      <w:r w:rsidR="00B20653" w:rsidRPr="00D015C4">
        <w:rPr>
          <w:rFonts w:ascii="Bookman Old Style" w:hAnsi="Bookman Old Style"/>
          <w:sz w:val="24"/>
          <w:szCs w:val="24"/>
          <w:lang w:val="en-IN"/>
        </w:rPr>
        <w:t xml:space="preserve"> is a statutory right under Section 4 of the Telegraph Act. However, such </w:t>
      </w:r>
      <w:r w:rsidRPr="00D015C4">
        <w:rPr>
          <w:rFonts w:ascii="Bookman Old Style" w:hAnsi="Bookman Old Style"/>
          <w:sz w:val="24"/>
          <w:szCs w:val="24"/>
          <w:lang w:val="en-IN"/>
        </w:rPr>
        <w:t>allocation</w:t>
      </w:r>
      <w:r w:rsidR="00B20653" w:rsidRPr="00D015C4">
        <w:rPr>
          <w:rFonts w:ascii="Bookman Old Style" w:hAnsi="Bookman Old Style"/>
          <w:sz w:val="24"/>
          <w:szCs w:val="24"/>
          <w:lang w:val="en-IN"/>
        </w:rPr>
        <w:t xml:space="preserve"> of the exclusive privilege can only be done in consonance with the underlying public interest especially considering the vital</w:t>
      </w:r>
      <w:r w:rsidRPr="00D015C4">
        <w:rPr>
          <w:rFonts w:ascii="Bookman Old Style" w:hAnsi="Bookman Old Style"/>
          <w:sz w:val="24"/>
          <w:szCs w:val="24"/>
          <w:lang w:val="en-IN"/>
        </w:rPr>
        <w:t xml:space="preserve"> character of</w:t>
      </w:r>
      <w:r w:rsidR="00B20653" w:rsidRPr="00D015C4">
        <w:rPr>
          <w:rFonts w:ascii="Bookman Old Style" w:hAnsi="Bookman Old Style"/>
          <w:sz w:val="24"/>
          <w:szCs w:val="24"/>
          <w:lang w:val="en-IN"/>
        </w:rPr>
        <w:t xml:space="preserve"> natural resources such as spectrum which the government had </w:t>
      </w:r>
      <w:r w:rsidRPr="00D015C4">
        <w:rPr>
          <w:rFonts w:ascii="Bookman Old Style" w:hAnsi="Bookman Old Style"/>
          <w:sz w:val="24"/>
          <w:szCs w:val="24"/>
          <w:lang w:val="en-IN"/>
        </w:rPr>
        <w:t>assigned</w:t>
      </w:r>
      <w:r w:rsidR="00B20653" w:rsidRPr="00D015C4">
        <w:rPr>
          <w:rFonts w:ascii="Bookman Old Style" w:hAnsi="Bookman Old Style"/>
          <w:sz w:val="24"/>
          <w:szCs w:val="24"/>
          <w:lang w:val="en-IN"/>
        </w:rPr>
        <w:t xml:space="preserve"> to the TSPs for its best utilization</w:t>
      </w:r>
      <w:r w:rsidRPr="00D015C4">
        <w:rPr>
          <w:rFonts w:ascii="Bookman Old Style" w:hAnsi="Bookman Old Style"/>
          <w:sz w:val="24"/>
          <w:szCs w:val="24"/>
          <w:lang w:val="en-IN"/>
        </w:rPr>
        <w:t xml:space="preserve">/exploitation, </w:t>
      </w:r>
      <w:r w:rsidR="00B20653" w:rsidRPr="00D015C4">
        <w:rPr>
          <w:rFonts w:ascii="Bookman Old Style" w:hAnsi="Bookman Old Style"/>
          <w:sz w:val="24"/>
          <w:szCs w:val="24"/>
          <w:lang w:val="en-IN"/>
        </w:rPr>
        <w:t xml:space="preserve">expecting the maximum return on </w:t>
      </w:r>
      <w:r w:rsidRPr="00D015C4">
        <w:rPr>
          <w:rFonts w:ascii="Bookman Old Style" w:hAnsi="Bookman Old Style"/>
          <w:sz w:val="24"/>
          <w:szCs w:val="24"/>
          <w:lang w:val="en-IN"/>
        </w:rPr>
        <w:t>apportionment</w:t>
      </w:r>
      <w:r w:rsidR="00B20653" w:rsidRPr="00D015C4">
        <w:rPr>
          <w:rFonts w:ascii="Bookman Old Style" w:hAnsi="Bookman Old Style"/>
          <w:sz w:val="24"/>
          <w:szCs w:val="24"/>
          <w:lang w:val="en-IN"/>
        </w:rPr>
        <w:t xml:space="preserve"> as a public trustee of the resources. </w:t>
      </w:r>
    </w:p>
    <w:p w14:paraId="37A3A6BB" w14:textId="77777777" w:rsidR="00685740" w:rsidRPr="00D015C4" w:rsidRDefault="00B71FEC"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lastRenderedPageBreak/>
        <w:t xml:space="preserve">Observing in a similar </w:t>
      </w:r>
      <w:r w:rsidR="00762C44" w:rsidRPr="00D015C4">
        <w:rPr>
          <w:rFonts w:ascii="Bookman Old Style" w:hAnsi="Bookman Old Style"/>
          <w:sz w:val="24"/>
          <w:szCs w:val="24"/>
          <w:lang w:val="en-IN"/>
        </w:rPr>
        <w:t>manner</w:t>
      </w:r>
      <w:r w:rsidRPr="00D015C4">
        <w:rPr>
          <w:rFonts w:ascii="Bookman Old Style" w:hAnsi="Bookman Old Style"/>
          <w:sz w:val="24"/>
          <w:szCs w:val="24"/>
          <w:lang w:val="en-IN"/>
        </w:rPr>
        <w:t xml:space="preserve"> </w:t>
      </w:r>
      <w:r w:rsidR="00762C44" w:rsidRPr="00D015C4">
        <w:rPr>
          <w:rFonts w:ascii="Bookman Old Style" w:hAnsi="Bookman Old Style"/>
          <w:sz w:val="24"/>
          <w:szCs w:val="24"/>
          <w:lang w:val="en-IN"/>
        </w:rPr>
        <w:t>the</w:t>
      </w:r>
      <w:r w:rsidRPr="00D015C4">
        <w:rPr>
          <w:rFonts w:ascii="Bookman Old Style" w:hAnsi="Bookman Old Style"/>
          <w:sz w:val="24"/>
          <w:szCs w:val="24"/>
          <w:lang w:val="en-IN"/>
        </w:rPr>
        <w:t xml:space="preserve"> Supreme Court in </w:t>
      </w:r>
      <w:r w:rsidRPr="00D015C4">
        <w:rPr>
          <w:rFonts w:ascii="Bookman Old Style" w:hAnsi="Bookman Old Style"/>
          <w:b/>
          <w:bCs/>
          <w:i/>
          <w:iCs/>
          <w:sz w:val="24"/>
          <w:szCs w:val="24"/>
          <w:lang w:val="en-IN"/>
        </w:rPr>
        <w:t>Secretary,</w:t>
      </w:r>
      <w:r w:rsidRPr="00D015C4">
        <w:rPr>
          <w:rFonts w:ascii="Bookman Old Style" w:hAnsi="Bookman Old Style"/>
          <w:sz w:val="24"/>
          <w:szCs w:val="24"/>
          <w:lang w:val="en-IN"/>
        </w:rPr>
        <w:t xml:space="preserve"> </w:t>
      </w:r>
      <w:r w:rsidRPr="00D015C4">
        <w:rPr>
          <w:rFonts w:ascii="Bookman Old Style" w:hAnsi="Bookman Old Style"/>
          <w:b/>
          <w:bCs/>
          <w:i/>
          <w:iCs/>
          <w:sz w:val="24"/>
          <w:szCs w:val="24"/>
          <w:lang w:val="en-IN"/>
        </w:rPr>
        <w:t>Ministry of Information &amp; Broadcasting, Govt. of India v Cricket Association of Bengal</w:t>
      </w:r>
      <w:r w:rsidRPr="00D015C4">
        <w:rPr>
          <w:rFonts w:ascii="Bookman Old Style" w:hAnsi="Bookman Old Style"/>
          <w:sz w:val="24"/>
          <w:szCs w:val="24"/>
          <w:lang w:val="en-IN"/>
        </w:rPr>
        <w:t>,</w:t>
      </w:r>
      <w:r w:rsidR="00762C44" w:rsidRPr="00D015C4">
        <w:rPr>
          <w:rStyle w:val="FootnoteReference"/>
          <w:rFonts w:ascii="Bookman Old Style" w:hAnsi="Bookman Old Style"/>
          <w:sz w:val="24"/>
          <w:szCs w:val="24"/>
          <w:lang w:val="en-IN"/>
        </w:rPr>
        <w:footnoteReference w:id="17"/>
      </w:r>
      <w:r w:rsidR="00762C44" w:rsidRPr="00D015C4">
        <w:rPr>
          <w:rFonts w:ascii="Bookman Old Style" w:hAnsi="Bookman Old Style"/>
          <w:sz w:val="24"/>
          <w:szCs w:val="24"/>
          <w:lang w:val="en-IN"/>
        </w:rPr>
        <w:t xml:space="preserve">, held that </w:t>
      </w:r>
      <w:r w:rsidRPr="00D015C4">
        <w:rPr>
          <w:rFonts w:ascii="Bookman Old Style" w:hAnsi="Bookman Old Style"/>
          <w:sz w:val="24"/>
          <w:szCs w:val="24"/>
          <w:lang w:val="en-IN"/>
        </w:rPr>
        <w:t>Airwaves / frequencie</w:t>
      </w:r>
      <w:r w:rsidR="00685740" w:rsidRPr="00D015C4">
        <w:rPr>
          <w:rFonts w:ascii="Bookman Old Style" w:hAnsi="Bookman Old Style"/>
          <w:sz w:val="24"/>
          <w:szCs w:val="24"/>
          <w:lang w:val="en-IN"/>
        </w:rPr>
        <w:t>s, being part and parcel of</w:t>
      </w:r>
      <w:r w:rsidRPr="00D015C4">
        <w:rPr>
          <w:rFonts w:ascii="Bookman Old Style" w:hAnsi="Bookman Old Style"/>
          <w:sz w:val="24"/>
          <w:szCs w:val="24"/>
          <w:lang w:val="en-IN"/>
        </w:rPr>
        <w:t xml:space="preserve"> public </w:t>
      </w:r>
      <w:r w:rsidR="00685740" w:rsidRPr="00D015C4">
        <w:rPr>
          <w:rFonts w:ascii="Bookman Old Style" w:hAnsi="Bookman Old Style"/>
          <w:sz w:val="24"/>
          <w:szCs w:val="24"/>
          <w:lang w:val="en-IN"/>
        </w:rPr>
        <w:t xml:space="preserve">property </w:t>
      </w:r>
      <w:r w:rsidRPr="00D015C4">
        <w:rPr>
          <w:rFonts w:ascii="Bookman Old Style" w:hAnsi="Bookman Old Style"/>
          <w:sz w:val="24"/>
          <w:szCs w:val="24"/>
          <w:lang w:val="en-IN"/>
        </w:rPr>
        <w:t xml:space="preserve">have to be used in the best interest of the society </w:t>
      </w:r>
      <w:r w:rsidR="00685740" w:rsidRPr="00D015C4">
        <w:rPr>
          <w:rFonts w:ascii="Bookman Old Style" w:hAnsi="Bookman Old Style"/>
          <w:sz w:val="24"/>
          <w:szCs w:val="24"/>
          <w:lang w:val="en-IN"/>
        </w:rPr>
        <w:t>which</w:t>
      </w:r>
      <w:r w:rsidRPr="00D015C4">
        <w:rPr>
          <w:rFonts w:ascii="Bookman Old Style" w:hAnsi="Bookman Old Style"/>
          <w:sz w:val="24"/>
          <w:szCs w:val="24"/>
          <w:lang w:val="en-IN"/>
        </w:rPr>
        <w:t xml:space="preserve"> can be done either by a central authority by establishing its own broadcasting network or regulating the grant of licences to other agencies, including the private agencies.</w:t>
      </w:r>
    </w:p>
    <w:p w14:paraId="2BD1BB0A" w14:textId="17F74A8C" w:rsidR="00B71FEC" w:rsidRPr="00D015C4" w:rsidRDefault="00685740"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Thereafter,</w:t>
      </w:r>
      <w:r w:rsidR="00B71FEC" w:rsidRPr="00D015C4">
        <w:rPr>
          <w:rFonts w:ascii="Bookman Old Style" w:hAnsi="Bookman Old Style"/>
          <w:sz w:val="24"/>
          <w:szCs w:val="24"/>
          <w:lang w:val="en-IN"/>
        </w:rPr>
        <w:t xml:space="preserve"> in </w:t>
      </w:r>
      <w:r w:rsidR="00B71FEC" w:rsidRPr="00D015C4">
        <w:rPr>
          <w:rFonts w:ascii="Bookman Old Style" w:hAnsi="Bookman Old Style"/>
          <w:b/>
          <w:bCs/>
          <w:i/>
          <w:iCs/>
          <w:sz w:val="24"/>
          <w:szCs w:val="24"/>
          <w:lang w:val="en-IN"/>
        </w:rPr>
        <w:t>Reliance Natural Resources Limited v Reliance Industries Limite</w:t>
      </w:r>
      <w:r w:rsidR="007259E7" w:rsidRPr="00D015C4">
        <w:rPr>
          <w:rFonts w:ascii="Bookman Old Style" w:hAnsi="Bookman Old Style"/>
          <w:b/>
          <w:bCs/>
          <w:i/>
          <w:iCs/>
          <w:sz w:val="24"/>
          <w:szCs w:val="24"/>
          <w:lang w:val="en-IN"/>
        </w:rPr>
        <w:t>d</w:t>
      </w:r>
      <w:r w:rsidRPr="00D015C4">
        <w:rPr>
          <w:rStyle w:val="FootnoteReference"/>
          <w:rFonts w:ascii="Bookman Old Style" w:hAnsi="Bookman Old Style"/>
          <w:b/>
          <w:bCs/>
          <w:i/>
          <w:iCs/>
          <w:sz w:val="24"/>
          <w:szCs w:val="24"/>
          <w:lang w:val="en-IN"/>
        </w:rPr>
        <w:footnoteReference w:id="18"/>
      </w:r>
      <w:r w:rsidR="00B71FEC" w:rsidRPr="00D015C4">
        <w:rPr>
          <w:rFonts w:ascii="Bookman Old Style" w:hAnsi="Bookman Old Style"/>
          <w:sz w:val="24"/>
          <w:szCs w:val="24"/>
          <w:lang w:val="en-IN"/>
        </w:rPr>
        <w:t>,</w:t>
      </w:r>
      <w:r w:rsidR="00B71FEC" w:rsidRPr="00D015C4">
        <w:rPr>
          <w:rFonts w:ascii="Bookman Old Style" w:hAnsi="Bookman Old Style"/>
          <w:sz w:val="24"/>
          <w:szCs w:val="24"/>
          <w:lang w:val="en-IN"/>
        </w:rPr>
        <w:fldChar w:fldCharType="begin"/>
      </w:r>
      <w:r w:rsidR="00B71FEC" w:rsidRPr="00D015C4">
        <w:rPr>
          <w:rFonts w:ascii="Bookman Old Style" w:hAnsi="Bookman Old Style"/>
          <w:sz w:val="24"/>
          <w:szCs w:val="24"/>
          <w:lang w:val="en-IN"/>
        </w:rPr>
        <w:instrText xml:space="preserve"> TA \l "Reliance Natural Resources Limited v Reliance Industries Limited, (2010) 7 SCC 1" \s "Reliance Natural Resources Limited v Reliance Industries Limited, (2010) 7 SCC 1" \c 1 </w:instrText>
      </w:r>
      <w:r w:rsidR="00B71FEC" w:rsidRPr="00D015C4">
        <w:rPr>
          <w:rFonts w:ascii="Bookman Old Style" w:hAnsi="Bookman Old Style"/>
          <w:sz w:val="24"/>
          <w:szCs w:val="24"/>
          <w:lang w:val="en-IN"/>
        </w:rPr>
        <w:fldChar w:fldCharType="end"/>
      </w:r>
      <w:r w:rsidR="007259E7" w:rsidRPr="00D015C4">
        <w:rPr>
          <w:rFonts w:ascii="Bookman Old Style" w:hAnsi="Bookman Old Style"/>
          <w:sz w:val="24"/>
          <w:szCs w:val="24"/>
          <w:lang w:val="en-IN"/>
        </w:rPr>
        <w:t xml:space="preserve"> the </w:t>
      </w:r>
      <w:r w:rsidR="00B71FEC" w:rsidRPr="00D015C4">
        <w:rPr>
          <w:rFonts w:ascii="Bookman Old Style" w:hAnsi="Bookman Old Style"/>
          <w:sz w:val="24"/>
          <w:szCs w:val="24"/>
          <w:lang w:val="en-IN"/>
        </w:rPr>
        <w:t xml:space="preserve">Supreme Court </w:t>
      </w:r>
      <w:r w:rsidR="007259E7" w:rsidRPr="00D015C4">
        <w:rPr>
          <w:rFonts w:ascii="Bookman Old Style" w:hAnsi="Bookman Old Style"/>
          <w:sz w:val="24"/>
          <w:szCs w:val="24"/>
          <w:lang w:val="en-IN"/>
        </w:rPr>
        <w:t xml:space="preserve">while </w:t>
      </w:r>
      <w:r w:rsidR="00B71FEC" w:rsidRPr="00D015C4">
        <w:rPr>
          <w:rFonts w:ascii="Bookman Old Style" w:hAnsi="Bookman Old Style"/>
          <w:sz w:val="24"/>
          <w:szCs w:val="24"/>
          <w:lang w:val="en-IN"/>
        </w:rPr>
        <w:t>extend</w:t>
      </w:r>
      <w:r w:rsidR="007259E7" w:rsidRPr="00D015C4">
        <w:rPr>
          <w:rFonts w:ascii="Bookman Old Style" w:hAnsi="Bookman Old Style"/>
          <w:sz w:val="24"/>
          <w:szCs w:val="24"/>
          <w:lang w:val="en-IN"/>
        </w:rPr>
        <w:t>ing</w:t>
      </w:r>
      <w:r w:rsidR="00B71FEC" w:rsidRPr="00D015C4">
        <w:rPr>
          <w:rFonts w:ascii="Bookman Old Style" w:hAnsi="Bookman Old Style"/>
          <w:sz w:val="24"/>
          <w:szCs w:val="24"/>
          <w:lang w:val="en-IN"/>
        </w:rPr>
        <w:t xml:space="preserve"> the public trust doctrine in respect of natural resources</w:t>
      </w:r>
      <w:r w:rsidR="007259E7" w:rsidRPr="00D015C4">
        <w:rPr>
          <w:rFonts w:ascii="Bookman Old Style" w:hAnsi="Bookman Old Style"/>
          <w:sz w:val="24"/>
          <w:szCs w:val="24"/>
          <w:lang w:val="en-IN"/>
        </w:rPr>
        <w:t xml:space="preserve">, stated that the </w:t>
      </w:r>
      <w:r w:rsidR="00B71FEC" w:rsidRPr="00D015C4">
        <w:rPr>
          <w:rFonts w:ascii="Bookman Old Style" w:hAnsi="Bookman Old Style"/>
          <w:sz w:val="24"/>
          <w:szCs w:val="24"/>
          <w:lang w:val="en-IN"/>
        </w:rPr>
        <w:t>constitutional mandate</w:t>
      </w:r>
      <w:r w:rsidR="007259E7" w:rsidRPr="00D015C4">
        <w:rPr>
          <w:rFonts w:ascii="Bookman Old Style" w:hAnsi="Bookman Old Style"/>
          <w:sz w:val="24"/>
          <w:szCs w:val="24"/>
          <w:lang w:val="en-IN"/>
        </w:rPr>
        <w:t xml:space="preserve">s that </w:t>
      </w:r>
      <w:r w:rsidR="00B71FEC" w:rsidRPr="00D015C4">
        <w:rPr>
          <w:rFonts w:ascii="Bookman Old Style" w:hAnsi="Bookman Old Style"/>
          <w:sz w:val="24"/>
          <w:szCs w:val="24"/>
          <w:lang w:val="en-IN"/>
        </w:rPr>
        <w:t>natural resources belong to the people of this country. The nature of the word “vest” must be seen in the context of the public trust doctrine (PTD)</w:t>
      </w:r>
      <w:r w:rsidR="007259E7" w:rsidRPr="00D015C4">
        <w:rPr>
          <w:rFonts w:ascii="Bookman Old Style" w:hAnsi="Bookman Old Style"/>
          <w:sz w:val="24"/>
          <w:szCs w:val="24"/>
          <w:lang w:val="en-IN"/>
        </w:rPr>
        <w:t xml:space="preserve">, which has a </w:t>
      </w:r>
      <w:r w:rsidR="00B71FEC" w:rsidRPr="00D015C4">
        <w:rPr>
          <w:rFonts w:ascii="Bookman Old Style" w:hAnsi="Bookman Old Style"/>
          <w:sz w:val="24"/>
          <w:szCs w:val="24"/>
          <w:lang w:val="en-IN"/>
        </w:rPr>
        <w:t>broader application.</w:t>
      </w:r>
    </w:p>
    <w:p w14:paraId="28013465" w14:textId="56DE0C5F" w:rsidR="00B71FEC" w:rsidRPr="00D015C4" w:rsidRDefault="00A64A5F"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I</w:t>
      </w:r>
      <w:r w:rsidR="00B71FEC" w:rsidRPr="00D015C4">
        <w:rPr>
          <w:rFonts w:ascii="Bookman Old Style" w:hAnsi="Bookman Old Style"/>
          <w:sz w:val="24"/>
          <w:szCs w:val="24"/>
          <w:lang w:val="en-IN"/>
        </w:rPr>
        <w:t xml:space="preserve">n </w:t>
      </w:r>
      <w:r w:rsidR="00B71FEC" w:rsidRPr="00D015C4">
        <w:rPr>
          <w:rFonts w:ascii="Bookman Old Style" w:hAnsi="Bookman Old Style"/>
          <w:b/>
          <w:bCs/>
          <w:i/>
          <w:iCs/>
          <w:sz w:val="24"/>
          <w:szCs w:val="24"/>
          <w:lang w:val="en-IN"/>
        </w:rPr>
        <w:t>Centre for</w:t>
      </w:r>
      <w:r w:rsidR="00B71FEC" w:rsidRPr="00D015C4">
        <w:rPr>
          <w:rFonts w:ascii="Bookman Old Style" w:hAnsi="Bookman Old Style"/>
          <w:sz w:val="24"/>
          <w:szCs w:val="24"/>
          <w:lang w:val="en-IN"/>
        </w:rPr>
        <w:t xml:space="preserve"> </w:t>
      </w:r>
      <w:r w:rsidR="00B71FEC" w:rsidRPr="00D015C4">
        <w:rPr>
          <w:rFonts w:ascii="Bookman Old Style" w:hAnsi="Bookman Old Style"/>
          <w:b/>
          <w:bCs/>
          <w:i/>
          <w:iCs/>
          <w:sz w:val="24"/>
          <w:szCs w:val="24"/>
          <w:lang w:val="en-IN"/>
        </w:rPr>
        <w:t>Public Interest Litigation v Union of India</w:t>
      </w:r>
      <w:r w:rsidRPr="00D015C4">
        <w:rPr>
          <w:rStyle w:val="FootnoteReference"/>
          <w:rFonts w:ascii="Bookman Old Style" w:hAnsi="Bookman Old Style"/>
          <w:b/>
          <w:bCs/>
          <w:i/>
          <w:iCs/>
          <w:sz w:val="24"/>
          <w:szCs w:val="24"/>
          <w:lang w:val="en-IN"/>
        </w:rPr>
        <w:footnoteReference w:id="19"/>
      </w:r>
      <w:r w:rsidR="00B71FEC" w:rsidRPr="00D015C4">
        <w:rPr>
          <w:rFonts w:ascii="Bookman Old Style" w:hAnsi="Bookman Old Style"/>
          <w:sz w:val="24"/>
          <w:szCs w:val="24"/>
          <w:lang w:val="en-IN"/>
        </w:rPr>
        <w:t xml:space="preserve">, the Supreme Court while dealing with allocation spectrum has </w:t>
      </w:r>
      <w:r w:rsidRPr="00D015C4">
        <w:rPr>
          <w:rFonts w:ascii="Bookman Old Style" w:hAnsi="Bookman Old Style"/>
          <w:sz w:val="24"/>
          <w:szCs w:val="24"/>
          <w:lang w:val="en-IN"/>
        </w:rPr>
        <w:t>observed thus</w:t>
      </w:r>
      <w:r w:rsidR="00B71FEC" w:rsidRPr="00D015C4">
        <w:rPr>
          <w:rFonts w:ascii="Bookman Old Style" w:hAnsi="Bookman Old Style"/>
          <w:sz w:val="24"/>
          <w:szCs w:val="24"/>
          <w:lang w:val="en-IN"/>
        </w:rPr>
        <w:t>:</w:t>
      </w:r>
    </w:p>
    <w:p w14:paraId="2EE7EE2E" w14:textId="19E23057" w:rsidR="00B71FEC" w:rsidRPr="00D015C4" w:rsidRDefault="00131BC7" w:rsidP="00690E46">
      <w:pPr>
        <w:pStyle w:val="ListParagraph"/>
        <w:spacing w:after="200" w:line="240" w:lineRule="auto"/>
        <w:ind w:right="804"/>
        <w:contextualSpacing w:val="0"/>
        <w:jc w:val="both"/>
        <w:rPr>
          <w:rFonts w:ascii="Bookman Old Style" w:hAnsi="Bookman Old Style"/>
          <w:sz w:val="24"/>
          <w:szCs w:val="24"/>
          <w:lang w:val="en-IN"/>
        </w:rPr>
      </w:pPr>
      <w:r>
        <w:rPr>
          <w:rFonts w:ascii="Bookman Old Style" w:hAnsi="Bookman Old Style"/>
          <w:sz w:val="24"/>
          <w:szCs w:val="24"/>
          <w:lang w:val="en-IN"/>
        </w:rPr>
        <w:t>“…</w:t>
      </w:r>
      <w:r w:rsidR="00B71FEC" w:rsidRPr="00D015C4">
        <w:rPr>
          <w:rFonts w:ascii="Bookman Old Style" w:hAnsi="Bookman Old Style"/>
          <w:sz w:val="24"/>
          <w:szCs w:val="24"/>
          <w:lang w:val="en-IN"/>
        </w:rPr>
        <w:t xml:space="preserve"> </w:t>
      </w:r>
      <w:r w:rsidR="00B71FEC" w:rsidRPr="00D015C4">
        <w:rPr>
          <w:rFonts w:ascii="Bookman Old Style" w:hAnsi="Bookman Old Style"/>
          <w:sz w:val="24"/>
          <w:szCs w:val="24"/>
          <w:u w:val="single"/>
          <w:lang w:val="en-IN"/>
        </w:rPr>
        <w:t>Natural resources belong to the people but the State legally owns them on behalf of its people and from that point of view natural resources are considered as national assets, more so because the State benefits immensely from their value. Constitutionalism must be reflected at every stage of the distribution of natural resources.”</w:t>
      </w:r>
    </w:p>
    <w:p w14:paraId="00C7B199" w14:textId="15653BD8" w:rsidR="00B71FEC" w:rsidRPr="00D015C4" w:rsidRDefault="00B71FEC" w:rsidP="00690E46">
      <w:pPr>
        <w:pStyle w:val="ListParagraph"/>
        <w:spacing w:after="200" w:line="240" w:lineRule="auto"/>
        <w:ind w:right="804"/>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 State is empowered to distribute natural resources. However, as they constitute </w:t>
      </w:r>
      <w:r w:rsidRPr="00D015C4">
        <w:rPr>
          <w:rFonts w:ascii="Bookman Old Style" w:hAnsi="Bookman Old Style"/>
          <w:sz w:val="24"/>
          <w:szCs w:val="24"/>
          <w:u w:val="single"/>
          <w:lang w:val="en-IN"/>
        </w:rPr>
        <w:t xml:space="preserve">public property/national asset, while distributing natural resources the State is bound to act in consonance with the principles of equality and public trust and ensure that no action is taken which may be detrimental to </w:t>
      </w:r>
      <w:r w:rsidRPr="00D015C4">
        <w:rPr>
          <w:rFonts w:ascii="Bookman Old Style" w:hAnsi="Bookman Old Style"/>
          <w:sz w:val="24"/>
          <w:szCs w:val="24"/>
          <w:u w:val="single"/>
          <w:lang w:val="en-IN"/>
        </w:rPr>
        <w:lastRenderedPageBreak/>
        <w:t>public interest. Like any other State action, constitutionalism must be reflected at every stage of the distribution of natural resources.</w:t>
      </w:r>
      <w:r w:rsidRPr="00D015C4">
        <w:rPr>
          <w:rFonts w:ascii="Bookman Old Style" w:hAnsi="Bookman Old Style"/>
          <w:sz w:val="24"/>
          <w:szCs w:val="24"/>
          <w:lang w:val="en-IN"/>
        </w:rPr>
        <w:t>.”</w:t>
      </w:r>
    </w:p>
    <w:p w14:paraId="3A88D3F3" w14:textId="5B6EAE38" w:rsidR="009645E5" w:rsidRPr="00D015C4" w:rsidRDefault="00131BC7" w:rsidP="00690E46">
      <w:pPr>
        <w:pStyle w:val="ListParagraph"/>
        <w:spacing w:after="200" w:line="240" w:lineRule="auto"/>
        <w:ind w:right="804"/>
        <w:contextualSpacing w:val="0"/>
        <w:jc w:val="right"/>
        <w:rPr>
          <w:rFonts w:ascii="Bookman Old Style" w:hAnsi="Bookman Old Style"/>
          <w:sz w:val="24"/>
          <w:szCs w:val="24"/>
          <w:lang w:val="en-IN"/>
        </w:rPr>
      </w:pPr>
      <w:r w:rsidRPr="00D015C4">
        <w:rPr>
          <w:rFonts w:ascii="Bookman Old Style" w:hAnsi="Bookman Old Style"/>
          <w:sz w:val="24"/>
          <w:szCs w:val="24"/>
          <w:lang w:val="en-IN"/>
        </w:rPr>
        <w:t xml:space="preserve"> </w:t>
      </w:r>
      <w:r w:rsidR="009645E5" w:rsidRPr="00D015C4">
        <w:rPr>
          <w:rFonts w:ascii="Bookman Old Style" w:hAnsi="Bookman Old Style"/>
          <w:sz w:val="24"/>
          <w:szCs w:val="24"/>
          <w:lang w:val="en-IN"/>
        </w:rPr>
        <w:t>[Emphasis Added]</w:t>
      </w:r>
    </w:p>
    <w:p w14:paraId="54A83F94" w14:textId="37163E2A" w:rsidR="00B20653" w:rsidRPr="00D015C4" w:rsidRDefault="00B20653"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Therefore, the dues which have been adjudicated in favour of the government by the Supreme Court </w:t>
      </w:r>
      <w:r w:rsidR="009645E5" w:rsidRPr="00D015C4">
        <w:rPr>
          <w:rFonts w:ascii="Bookman Old Style" w:hAnsi="Bookman Old Style"/>
          <w:sz w:val="24"/>
          <w:szCs w:val="24"/>
          <w:lang w:val="en-IN"/>
        </w:rPr>
        <w:t xml:space="preserve">in </w:t>
      </w:r>
      <w:r w:rsidR="009645E5" w:rsidRPr="00D015C4">
        <w:rPr>
          <w:rFonts w:ascii="Bookman Old Style" w:hAnsi="Bookman Old Style"/>
          <w:b/>
          <w:i/>
          <w:sz w:val="24"/>
          <w:szCs w:val="24"/>
        </w:rPr>
        <w:t xml:space="preserve">Association of Unified Telecom Service Providers of India </w:t>
      </w:r>
      <w:r w:rsidR="009645E5" w:rsidRPr="00D015C4">
        <w:rPr>
          <w:rFonts w:ascii="Bookman Old Style" w:hAnsi="Bookman Old Style"/>
          <w:bCs/>
          <w:iCs/>
          <w:sz w:val="24"/>
          <w:szCs w:val="24"/>
        </w:rPr>
        <w:t>(supra)</w:t>
      </w:r>
      <w:r w:rsidRPr="00D015C4">
        <w:rPr>
          <w:rFonts w:ascii="Bookman Old Style" w:hAnsi="Bookman Old Style"/>
          <w:sz w:val="24"/>
          <w:szCs w:val="24"/>
          <w:lang w:val="en-IN"/>
        </w:rPr>
        <w:t xml:space="preserve"> are not simpliciter private contractual dues of the Central Government but in essence, public money and thereby</w:t>
      </w:r>
      <w:r w:rsidR="00B71FEC" w:rsidRPr="00D015C4">
        <w:rPr>
          <w:rFonts w:ascii="Bookman Old Style" w:hAnsi="Bookman Old Style"/>
          <w:sz w:val="24"/>
          <w:szCs w:val="24"/>
          <w:lang w:val="en-IN"/>
        </w:rPr>
        <w:t xml:space="preserve">, </w:t>
      </w:r>
      <w:r w:rsidR="009645E5" w:rsidRPr="00D015C4">
        <w:rPr>
          <w:rFonts w:ascii="Bookman Old Style" w:hAnsi="Bookman Old Style"/>
          <w:sz w:val="24"/>
          <w:szCs w:val="24"/>
          <w:lang w:val="en-IN"/>
        </w:rPr>
        <w:t>irrefragably involves</w:t>
      </w:r>
      <w:r w:rsidRPr="00D015C4">
        <w:rPr>
          <w:rFonts w:ascii="Bookman Old Style" w:hAnsi="Bookman Old Style"/>
          <w:sz w:val="24"/>
          <w:szCs w:val="24"/>
          <w:lang w:val="en-IN"/>
        </w:rPr>
        <w:t xml:space="preserve"> substantial public interest.</w:t>
      </w:r>
    </w:p>
    <w:p w14:paraId="36BD9CF2" w14:textId="68D99D6B" w:rsidR="003C7443" w:rsidRPr="00D015C4" w:rsidRDefault="00511F16" w:rsidP="00690E46">
      <w:pPr>
        <w:pStyle w:val="Heading1"/>
        <w:numPr>
          <w:ilvl w:val="0"/>
          <w:numId w:val="0"/>
        </w:numPr>
        <w:ind w:left="360"/>
        <w:rPr>
          <w:rFonts w:ascii="Bookman Old Style" w:hAnsi="Bookman Old Style"/>
          <w:i w:val="0"/>
          <w:iCs w:val="0"/>
          <w:smallCaps w:val="0"/>
          <w:lang w:val="en-IN"/>
        </w:rPr>
      </w:pPr>
      <w:r>
        <w:rPr>
          <w:rFonts w:ascii="Bookman Old Style" w:hAnsi="Bookman Old Style"/>
          <w:i w:val="0"/>
          <w:iCs w:val="0"/>
          <w:smallCaps w:val="0"/>
          <w:lang w:val="en-IN"/>
        </w:rPr>
        <w:t>D</w:t>
      </w:r>
      <w:r w:rsidR="003C7443" w:rsidRPr="00D015C4">
        <w:rPr>
          <w:rFonts w:ascii="Bookman Old Style" w:hAnsi="Bookman Old Style"/>
          <w:i w:val="0"/>
          <w:iCs w:val="0"/>
          <w:smallCaps w:val="0"/>
          <w:lang w:val="en-IN"/>
        </w:rPr>
        <w:t xml:space="preserve">. </w:t>
      </w:r>
      <w:bookmarkStart w:id="5" w:name="_Hlk24656593"/>
      <w:r w:rsidR="003C7443" w:rsidRPr="00D015C4">
        <w:rPr>
          <w:rFonts w:ascii="Bookman Old Style" w:hAnsi="Bookman Old Style"/>
          <w:i w:val="0"/>
          <w:iCs w:val="0"/>
          <w:smallCaps w:val="0"/>
          <w:lang w:val="en-IN"/>
        </w:rPr>
        <w:t xml:space="preserve">Doctrine of Separation of Powers </w:t>
      </w:r>
      <w:bookmarkEnd w:id="5"/>
      <w:r w:rsidR="003C7443" w:rsidRPr="00D015C4">
        <w:rPr>
          <w:rFonts w:ascii="Bookman Old Style" w:hAnsi="Bookman Old Style"/>
          <w:i w:val="0"/>
          <w:iCs w:val="0"/>
          <w:smallCaps w:val="0"/>
          <w:lang w:val="en-IN"/>
        </w:rPr>
        <w:t xml:space="preserve">and Duty of the Executive </w:t>
      </w:r>
      <w:r w:rsidR="00385C18" w:rsidRPr="00D015C4">
        <w:rPr>
          <w:rFonts w:ascii="Bookman Old Style" w:hAnsi="Bookman Old Style"/>
          <w:i w:val="0"/>
          <w:iCs w:val="0"/>
          <w:smallCaps w:val="0"/>
          <w:lang w:val="en-IN"/>
        </w:rPr>
        <w:t>qua Judicial Pronouncements</w:t>
      </w:r>
    </w:p>
    <w:p w14:paraId="2A55968D" w14:textId="3C67EFD3" w:rsidR="00903050" w:rsidRPr="00D015C4" w:rsidRDefault="003C7443"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 xml:space="preserve">In the obtaining situation it is seemly to </w:t>
      </w:r>
      <w:r w:rsidR="00510F7B" w:rsidRPr="00D015C4">
        <w:rPr>
          <w:rFonts w:ascii="Bookman Old Style" w:hAnsi="Bookman Old Style"/>
          <w:sz w:val="24"/>
          <w:szCs w:val="24"/>
          <w:lang w:val="en-IN"/>
        </w:rPr>
        <w:t xml:space="preserve">refer to the </w:t>
      </w:r>
      <w:r w:rsidR="00131BC7">
        <w:rPr>
          <w:rFonts w:ascii="Bookman Old Style" w:hAnsi="Bookman Old Style"/>
          <w:sz w:val="24"/>
          <w:szCs w:val="24"/>
          <w:lang w:val="en-IN"/>
        </w:rPr>
        <w:t>concretized</w:t>
      </w:r>
      <w:r w:rsidRPr="00D015C4">
        <w:rPr>
          <w:rFonts w:ascii="Bookman Old Style" w:hAnsi="Bookman Old Style"/>
          <w:sz w:val="24"/>
          <w:szCs w:val="24"/>
          <w:lang w:val="en-IN"/>
        </w:rPr>
        <w:t xml:space="preserve"> concept of Doctrine of Separation of Powers and the consequent obligation of the Executive to ensure compliance of the decision of the court</w:t>
      </w:r>
      <w:r w:rsidR="00431549" w:rsidRPr="00D015C4">
        <w:rPr>
          <w:rFonts w:ascii="Bookman Old Style" w:hAnsi="Bookman Old Style"/>
          <w:sz w:val="24"/>
          <w:szCs w:val="24"/>
          <w:lang w:val="en-IN"/>
        </w:rPr>
        <w:t xml:space="preserve"> of Law</w:t>
      </w:r>
      <w:r w:rsidRPr="00D015C4">
        <w:rPr>
          <w:rFonts w:ascii="Bookman Old Style" w:hAnsi="Bookman Old Style"/>
          <w:sz w:val="24"/>
          <w:szCs w:val="24"/>
          <w:lang w:val="en-IN"/>
        </w:rPr>
        <w:t xml:space="preserve">. </w:t>
      </w:r>
      <w:r w:rsidR="00510F7B" w:rsidRPr="00D015C4">
        <w:rPr>
          <w:rFonts w:ascii="Bookman Old Style" w:hAnsi="Bookman Old Style"/>
          <w:sz w:val="24"/>
          <w:szCs w:val="24"/>
          <w:lang w:val="en-IN"/>
        </w:rPr>
        <w:t>In this regard,</w:t>
      </w:r>
      <w:r w:rsidR="00D95BBB" w:rsidRPr="00D015C4">
        <w:rPr>
          <w:rFonts w:ascii="Bookman Old Style" w:hAnsi="Bookman Old Style"/>
          <w:sz w:val="24"/>
          <w:szCs w:val="24"/>
          <w:lang w:val="en-IN"/>
        </w:rPr>
        <w:t xml:space="preserve"> it is profitable to refer to the decision of the Supreme Court</w:t>
      </w:r>
      <w:r w:rsidR="00510F7B" w:rsidRPr="00D015C4">
        <w:rPr>
          <w:rFonts w:ascii="Bookman Old Style" w:hAnsi="Bookman Old Style"/>
          <w:sz w:val="24"/>
          <w:szCs w:val="24"/>
          <w:lang w:val="en-IN"/>
        </w:rPr>
        <w:t xml:space="preserve"> in </w:t>
      </w:r>
      <w:r w:rsidR="00903050" w:rsidRPr="00D015C4">
        <w:rPr>
          <w:rFonts w:ascii="Bookman Old Style" w:eastAsia="Times New Roman" w:hAnsi="Bookman Old Style" w:cs="Times New Roman"/>
          <w:b/>
          <w:bCs/>
          <w:i/>
          <w:iCs/>
          <w:color w:val="000000"/>
          <w:sz w:val="24"/>
          <w:szCs w:val="24"/>
          <w:shd w:val="clear" w:color="auto" w:fill="FFFFFF"/>
        </w:rPr>
        <w:t xml:space="preserve">Union of India v. K.M. </w:t>
      </w:r>
      <w:proofErr w:type="spellStart"/>
      <w:r w:rsidR="00903050" w:rsidRPr="00D015C4">
        <w:rPr>
          <w:rFonts w:ascii="Bookman Old Style" w:eastAsia="Times New Roman" w:hAnsi="Bookman Old Style" w:cs="Times New Roman"/>
          <w:b/>
          <w:bCs/>
          <w:i/>
          <w:iCs/>
          <w:color w:val="000000"/>
          <w:sz w:val="24"/>
          <w:szCs w:val="24"/>
          <w:shd w:val="clear" w:color="auto" w:fill="FFFFFF"/>
        </w:rPr>
        <w:t>Shankarappa</w:t>
      </w:r>
      <w:proofErr w:type="spellEnd"/>
      <w:r w:rsidR="00903050" w:rsidRPr="00D015C4">
        <w:rPr>
          <w:rStyle w:val="FootnoteReference"/>
          <w:rFonts w:ascii="Bookman Old Style" w:eastAsia="Times New Roman" w:hAnsi="Bookman Old Style" w:cs="Times New Roman"/>
          <w:b/>
          <w:bCs/>
          <w:color w:val="000000"/>
          <w:sz w:val="24"/>
          <w:szCs w:val="24"/>
          <w:shd w:val="clear" w:color="auto" w:fill="FFFFFF"/>
        </w:rPr>
        <w:footnoteReference w:id="20"/>
      </w:r>
      <w:r w:rsidR="00903050" w:rsidRPr="00D015C4">
        <w:rPr>
          <w:rFonts w:ascii="Bookman Old Style" w:eastAsia="Times New Roman" w:hAnsi="Bookman Old Style" w:cs="Times New Roman"/>
          <w:b/>
          <w:bCs/>
          <w:color w:val="000000"/>
          <w:sz w:val="24"/>
          <w:szCs w:val="24"/>
          <w:shd w:val="clear" w:color="auto" w:fill="FFFFFF"/>
        </w:rPr>
        <w:t>,</w:t>
      </w:r>
      <w:r w:rsidR="00903050" w:rsidRPr="00D015C4">
        <w:rPr>
          <w:rFonts w:ascii="Bookman Old Style" w:eastAsia="Times New Roman" w:hAnsi="Bookman Old Style" w:cs="Times New Roman"/>
          <w:color w:val="000000"/>
          <w:sz w:val="24"/>
          <w:szCs w:val="24"/>
          <w:shd w:val="clear" w:color="auto" w:fill="FFFFFF"/>
        </w:rPr>
        <w:t xml:space="preserve"> </w:t>
      </w:r>
      <w:r w:rsidR="00D95BBB" w:rsidRPr="00D015C4">
        <w:rPr>
          <w:rFonts w:ascii="Bookman Old Style" w:eastAsia="Times New Roman" w:hAnsi="Bookman Old Style" w:cs="Times New Roman"/>
          <w:color w:val="000000"/>
          <w:sz w:val="24"/>
          <w:szCs w:val="24"/>
          <w:shd w:val="clear" w:color="auto" w:fill="FFFFFF"/>
        </w:rPr>
        <w:t>wherein the Court</w:t>
      </w:r>
      <w:r w:rsidR="00903050" w:rsidRPr="00D015C4">
        <w:rPr>
          <w:rFonts w:ascii="Bookman Old Style" w:eastAsia="Times New Roman" w:hAnsi="Bookman Old Style" w:cs="Times New Roman"/>
          <w:color w:val="000000"/>
          <w:sz w:val="24"/>
          <w:szCs w:val="24"/>
          <w:shd w:val="clear" w:color="auto" w:fill="FFFFFF"/>
        </w:rPr>
        <w:t xml:space="preserve"> </w:t>
      </w:r>
      <w:r w:rsidR="00510F7B" w:rsidRPr="00D015C4">
        <w:rPr>
          <w:rFonts w:ascii="Bookman Old Style" w:eastAsia="Times New Roman" w:hAnsi="Bookman Old Style" w:cs="Times New Roman"/>
          <w:color w:val="000000"/>
          <w:sz w:val="24"/>
          <w:szCs w:val="24"/>
          <w:shd w:val="clear" w:color="auto" w:fill="FFFFFF"/>
        </w:rPr>
        <w:t>observed thus</w:t>
      </w:r>
      <w:r w:rsidR="00903050" w:rsidRPr="00D015C4">
        <w:rPr>
          <w:rFonts w:ascii="Bookman Old Style" w:eastAsia="Times New Roman" w:hAnsi="Bookman Old Style" w:cs="Times New Roman"/>
          <w:color w:val="000000"/>
          <w:sz w:val="24"/>
          <w:szCs w:val="24"/>
          <w:shd w:val="clear" w:color="auto" w:fill="FFFFFF"/>
        </w:rPr>
        <w:t>:</w:t>
      </w:r>
    </w:p>
    <w:p w14:paraId="64EB714F" w14:textId="77777777" w:rsidR="00510F7B" w:rsidRPr="00D015C4" w:rsidRDefault="00903050" w:rsidP="00690E46">
      <w:pPr>
        <w:pStyle w:val="ListParagraph"/>
        <w:spacing w:after="200" w:line="240" w:lineRule="auto"/>
        <w:ind w:right="804"/>
        <w:contextualSpacing w:val="0"/>
        <w:jc w:val="both"/>
        <w:rPr>
          <w:rFonts w:ascii="Bookman Old Style" w:hAnsi="Bookman Old Style"/>
          <w:sz w:val="24"/>
          <w:szCs w:val="24"/>
          <w:u w:val="single"/>
          <w:lang w:val="en-IN"/>
        </w:rPr>
      </w:pPr>
      <w:r w:rsidRPr="00D015C4">
        <w:rPr>
          <w:rFonts w:ascii="Bookman Old Style" w:hAnsi="Bookman Old Style"/>
          <w:sz w:val="24"/>
          <w:szCs w:val="24"/>
          <w:lang w:val="en-IN"/>
        </w:rPr>
        <w:t xml:space="preserve">7. [….] </w:t>
      </w:r>
      <w:r w:rsidRPr="00D015C4">
        <w:rPr>
          <w:rFonts w:ascii="Bookman Old Style" w:hAnsi="Bookman Old Style"/>
          <w:sz w:val="24"/>
          <w:szCs w:val="24"/>
          <w:u w:val="single"/>
          <w:lang w:val="en-IN"/>
        </w:rPr>
        <w:t>To permit the executive to review and/or revise that decision would amount to interference with the exercise of judicial functions by a quasi-judicial Board. It would amount to subjecting the decision of a quasi-judicial body to the scrutiny of the executive. Under our Constitution the position is reverse. The executive has to obey judicial orders.</w:t>
      </w:r>
      <w:r w:rsidRPr="00D015C4">
        <w:rPr>
          <w:rFonts w:ascii="Bookman Old Style" w:hAnsi="Bookman Old Style"/>
          <w:sz w:val="24"/>
          <w:szCs w:val="24"/>
          <w:lang w:val="en-IN"/>
        </w:rPr>
        <w:t xml:space="preserve"> Thus, Section 6(1) is a travesty of the rule of law which is one of the basic structures of the Constitution. The legislature may, in certain cases, overrule or nullify a judicial or executive decision by enacting an appropriate legislation. </w:t>
      </w:r>
      <w:r w:rsidRPr="00D015C4">
        <w:rPr>
          <w:rFonts w:ascii="Bookman Old Style" w:hAnsi="Bookman Old Style"/>
          <w:sz w:val="24"/>
          <w:szCs w:val="24"/>
          <w:u w:val="single"/>
          <w:lang w:val="en-IN"/>
        </w:rPr>
        <w:t>However, without enacting an appropriate legislation, the executive or the legislature cannot set at naught a judicial order. The executive cannot sit in an appeal or review or revise a judicial order.</w:t>
      </w:r>
      <w:r w:rsidRPr="00D015C4">
        <w:rPr>
          <w:rFonts w:ascii="Bookman Old Style" w:hAnsi="Bookman Old Style"/>
          <w:sz w:val="24"/>
          <w:szCs w:val="24"/>
          <w:lang w:val="en-IN"/>
        </w:rPr>
        <w:t xml:space="preserve"> The Appellate Tribunal consisting of experts decides matters quasi-judicially. </w:t>
      </w:r>
      <w:r w:rsidRPr="00D015C4">
        <w:rPr>
          <w:rFonts w:ascii="Bookman Old Style" w:hAnsi="Bookman Old Style"/>
          <w:sz w:val="24"/>
          <w:szCs w:val="24"/>
          <w:u w:val="single"/>
          <w:lang w:val="en-IN"/>
        </w:rPr>
        <w:t xml:space="preserve">A Secretary and/or Minister cannot sit in appeal or revision </w:t>
      </w:r>
      <w:r w:rsidRPr="00D015C4">
        <w:rPr>
          <w:rFonts w:ascii="Bookman Old Style" w:hAnsi="Bookman Old Style"/>
          <w:sz w:val="24"/>
          <w:szCs w:val="24"/>
          <w:u w:val="single"/>
          <w:lang w:val="en-IN"/>
        </w:rPr>
        <w:lastRenderedPageBreak/>
        <w:t xml:space="preserve">over those decisions. At the highest, the Government may apply to the Tribunal itself for a review, if circumstances so warrant. But the </w:t>
      </w:r>
      <w:r w:rsidRPr="00D015C4">
        <w:rPr>
          <w:rFonts w:ascii="Bookman Old Style" w:hAnsi="Bookman Old Style"/>
          <w:sz w:val="24"/>
          <w:szCs w:val="24"/>
          <w:lang w:val="en-IN"/>
        </w:rPr>
        <w:t>Government</w:t>
      </w:r>
      <w:r w:rsidRPr="00D015C4">
        <w:rPr>
          <w:rFonts w:ascii="Bookman Old Style" w:hAnsi="Bookman Old Style"/>
          <w:sz w:val="24"/>
          <w:szCs w:val="24"/>
          <w:u w:val="single"/>
          <w:lang w:val="en-IN"/>
        </w:rPr>
        <w:t xml:space="preserve"> would be bound by the ultimate decision of the Tribunal.</w:t>
      </w:r>
    </w:p>
    <w:p w14:paraId="55A90E5E" w14:textId="41BBAE99" w:rsidR="00903050" w:rsidRPr="00D015C4" w:rsidRDefault="00903050" w:rsidP="00690E46">
      <w:pPr>
        <w:pStyle w:val="ListParagraph"/>
        <w:spacing w:after="200" w:line="240" w:lineRule="auto"/>
        <w:ind w:left="1701" w:right="805"/>
        <w:contextualSpacing w:val="0"/>
        <w:jc w:val="right"/>
        <w:rPr>
          <w:rFonts w:ascii="Bookman Old Style" w:hAnsi="Bookman Old Style"/>
          <w:sz w:val="24"/>
          <w:szCs w:val="24"/>
        </w:rPr>
      </w:pPr>
      <w:r w:rsidRPr="00D015C4">
        <w:rPr>
          <w:rFonts w:ascii="Bookman Old Style" w:hAnsi="Bookman Old Style"/>
          <w:sz w:val="24"/>
          <w:szCs w:val="24"/>
        </w:rPr>
        <w:t>[</w:t>
      </w:r>
      <w:r w:rsidRPr="00D015C4">
        <w:rPr>
          <w:rFonts w:ascii="Bookman Old Style" w:hAnsi="Bookman Old Style"/>
          <w:sz w:val="24"/>
          <w:szCs w:val="24"/>
          <w:lang w:val="en-IN"/>
        </w:rPr>
        <w:t>Emphasis</w:t>
      </w:r>
      <w:r w:rsidRPr="00D015C4">
        <w:rPr>
          <w:rFonts w:ascii="Bookman Old Style" w:hAnsi="Bookman Old Style"/>
          <w:sz w:val="24"/>
          <w:szCs w:val="24"/>
        </w:rPr>
        <w:t xml:space="preserve"> added]</w:t>
      </w:r>
    </w:p>
    <w:p w14:paraId="1938577A" w14:textId="77777777" w:rsidR="001933AE" w:rsidRPr="00D015C4" w:rsidRDefault="00B00A2C"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lang w:val="en-IN"/>
        </w:rPr>
        <w:t>Thus, in the light of the aforesaid decision of the Supreme Court</w:t>
      </w:r>
      <w:r w:rsidR="001933AE" w:rsidRPr="00D015C4">
        <w:rPr>
          <w:rFonts w:ascii="Bookman Old Style" w:hAnsi="Bookman Old Style"/>
          <w:sz w:val="24"/>
          <w:szCs w:val="24"/>
          <w:lang w:val="en-IN"/>
        </w:rPr>
        <w:t xml:space="preserve">, it is crystal clear that the </w:t>
      </w:r>
      <w:r w:rsidR="00D95BBB" w:rsidRPr="00D015C4">
        <w:rPr>
          <w:rFonts w:ascii="Bookman Old Style" w:hAnsi="Bookman Old Style"/>
          <w:sz w:val="24"/>
          <w:szCs w:val="24"/>
          <w:lang w:val="en-IN"/>
        </w:rPr>
        <w:t>executive has no right to review and / or revise a final and binding decision of the court</w:t>
      </w:r>
      <w:r w:rsidR="001933AE" w:rsidRPr="00D015C4">
        <w:rPr>
          <w:rFonts w:ascii="Bookman Old Style" w:hAnsi="Bookman Old Style"/>
          <w:sz w:val="24"/>
          <w:szCs w:val="24"/>
          <w:lang w:val="en-IN"/>
        </w:rPr>
        <w:t>, for such an action on the part of the executive</w:t>
      </w:r>
      <w:r w:rsidR="00D95BBB" w:rsidRPr="00D015C4">
        <w:rPr>
          <w:rFonts w:ascii="Bookman Old Style" w:hAnsi="Bookman Old Style"/>
          <w:sz w:val="24"/>
          <w:szCs w:val="24"/>
          <w:lang w:val="en-IN"/>
        </w:rPr>
        <w:t xml:space="preserve"> </w:t>
      </w:r>
      <w:r w:rsidR="001933AE" w:rsidRPr="00D015C4">
        <w:rPr>
          <w:rFonts w:ascii="Bookman Old Style" w:hAnsi="Bookman Old Style"/>
          <w:sz w:val="24"/>
          <w:szCs w:val="24"/>
          <w:lang w:val="en-IN"/>
        </w:rPr>
        <w:t>would</w:t>
      </w:r>
      <w:r w:rsidR="00D95BBB" w:rsidRPr="00D015C4">
        <w:rPr>
          <w:rFonts w:ascii="Bookman Old Style" w:hAnsi="Bookman Old Style"/>
          <w:sz w:val="24"/>
          <w:szCs w:val="24"/>
          <w:lang w:val="en-IN"/>
        </w:rPr>
        <w:t xml:space="preserve"> </w:t>
      </w:r>
      <w:r w:rsidR="001933AE" w:rsidRPr="00D015C4">
        <w:rPr>
          <w:rFonts w:ascii="Bookman Old Style" w:hAnsi="Bookman Old Style"/>
          <w:sz w:val="24"/>
          <w:szCs w:val="24"/>
          <w:lang w:val="en-IN"/>
        </w:rPr>
        <w:t>tantamount</w:t>
      </w:r>
      <w:r w:rsidR="00D95BBB" w:rsidRPr="00D015C4">
        <w:rPr>
          <w:rFonts w:ascii="Bookman Old Style" w:hAnsi="Bookman Old Style"/>
          <w:sz w:val="24"/>
          <w:szCs w:val="24"/>
          <w:lang w:val="en-IN"/>
        </w:rPr>
        <w:t xml:space="preserve"> to subjecting the decision of the court to scrutiny </w:t>
      </w:r>
      <w:r w:rsidR="001933AE" w:rsidRPr="00D015C4">
        <w:rPr>
          <w:rFonts w:ascii="Bookman Old Style" w:hAnsi="Bookman Old Style"/>
          <w:sz w:val="24"/>
          <w:szCs w:val="24"/>
          <w:lang w:val="en-IN"/>
        </w:rPr>
        <w:t>by</w:t>
      </w:r>
      <w:r w:rsidR="00D95BBB" w:rsidRPr="00D015C4">
        <w:rPr>
          <w:rFonts w:ascii="Bookman Old Style" w:hAnsi="Bookman Old Style"/>
          <w:sz w:val="24"/>
          <w:szCs w:val="24"/>
          <w:lang w:val="en-IN"/>
        </w:rPr>
        <w:t xml:space="preserve"> the executive which would</w:t>
      </w:r>
      <w:r w:rsidR="001933AE" w:rsidRPr="00D015C4">
        <w:rPr>
          <w:rFonts w:ascii="Bookman Old Style" w:hAnsi="Bookman Old Style"/>
          <w:sz w:val="24"/>
          <w:szCs w:val="24"/>
          <w:lang w:val="en-IN"/>
        </w:rPr>
        <w:t>, invariably,</w:t>
      </w:r>
      <w:r w:rsidR="00D95BBB" w:rsidRPr="00D015C4">
        <w:rPr>
          <w:rFonts w:ascii="Bookman Old Style" w:hAnsi="Bookman Old Style"/>
          <w:sz w:val="24"/>
          <w:szCs w:val="24"/>
          <w:lang w:val="en-IN"/>
        </w:rPr>
        <w:t xml:space="preserve"> be a violation of the doctrine of separation of powers. </w:t>
      </w:r>
    </w:p>
    <w:p w14:paraId="26A44F68" w14:textId="6A7B4616" w:rsidR="00903050" w:rsidRPr="00D015C4" w:rsidRDefault="001933AE" w:rsidP="00690E46">
      <w:pPr>
        <w:pStyle w:val="ListParagraph"/>
        <w:numPr>
          <w:ilvl w:val="0"/>
          <w:numId w:val="2"/>
        </w:numPr>
        <w:spacing w:after="200" w:line="480" w:lineRule="auto"/>
        <w:contextualSpacing w:val="0"/>
        <w:jc w:val="both"/>
        <w:rPr>
          <w:rFonts w:ascii="Bookman Old Style" w:hAnsi="Bookman Old Style"/>
          <w:sz w:val="24"/>
          <w:szCs w:val="24"/>
          <w:lang w:val="en-IN"/>
        </w:rPr>
      </w:pPr>
      <w:r w:rsidRPr="00D015C4">
        <w:rPr>
          <w:rFonts w:ascii="Bookman Old Style" w:hAnsi="Bookman Old Style"/>
          <w:sz w:val="24"/>
          <w:szCs w:val="24"/>
        </w:rPr>
        <w:t>A</w:t>
      </w:r>
      <w:r w:rsidR="00903050" w:rsidRPr="00D015C4">
        <w:rPr>
          <w:rFonts w:ascii="Bookman Old Style" w:hAnsi="Bookman Old Style"/>
          <w:sz w:val="24"/>
          <w:szCs w:val="24"/>
        </w:rPr>
        <w:t>ny attempt by the executive to scrutinize the order of the court and pass an order in contravention of the directions given in the judicial order has been held to be a case of legal malice</w:t>
      </w:r>
      <w:r w:rsidR="00903050" w:rsidRPr="00D015C4">
        <w:rPr>
          <w:rStyle w:val="FootnoteReference"/>
          <w:rFonts w:ascii="Bookman Old Style" w:hAnsi="Bookman Old Style"/>
          <w:sz w:val="24"/>
          <w:szCs w:val="24"/>
        </w:rPr>
        <w:footnoteReference w:id="21"/>
      </w:r>
      <w:r w:rsidRPr="00D015C4">
        <w:rPr>
          <w:rFonts w:ascii="Bookman Old Style" w:hAnsi="Bookman Old Style"/>
          <w:sz w:val="24"/>
          <w:szCs w:val="24"/>
        </w:rPr>
        <w:t xml:space="preserve">. The </w:t>
      </w:r>
      <w:r w:rsidR="00903050" w:rsidRPr="00D015C4">
        <w:rPr>
          <w:rFonts w:ascii="Bookman Old Style" w:hAnsi="Bookman Old Style"/>
          <w:sz w:val="24"/>
          <w:szCs w:val="24"/>
        </w:rPr>
        <w:t xml:space="preserve">aspect of legal malice was considered by this Court in </w:t>
      </w:r>
      <w:proofErr w:type="spellStart"/>
      <w:r w:rsidR="00903050" w:rsidRPr="00D015C4">
        <w:rPr>
          <w:rFonts w:ascii="Bookman Old Style" w:hAnsi="Bookman Old Style"/>
          <w:b/>
          <w:bCs/>
          <w:i/>
          <w:iCs/>
          <w:sz w:val="24"/>
          <w:szCs w:val="24"/>
        </w:rPr>
        <w:t>Kalabharati</w:t>
      </w:r>
      <w:proofErr w:type="spellEnd"/>
      <w:r w:rsidR="00903050" w:rsidRPr="00D015C4">
        <w:rPr>
          <w:rFonts w:ascii="Bookman Old Style" w:hAnsi="Bookman Old Style"/>
          <w:b/>
          <w:bCs/>
          <w:i/>
          <w:iCs/>
          <w:sz w:val="24"/>
          <w:szCs w:val="24"/>
        </w:rPr>
        <w:t xml:space="preserve"> Advertising v. </w:t>
      </w:r>
      <w:proofErr w:type="spellStart"/>
      <w:r w:rsidR="00903050" w:rsidRPr="00D015C4">
        <w:rPr>
          <w:rFonts w:ascii="Bookman Old Style" w:hAnsi="Bookman Old Style"/>
          <w:b/>
          <w:bCs/>
          <w:i/>
          <w:iCs/>
          <w:sz w:val="24"/>
          <w:szCs w:val="24"/>
        </w:rPr>
        <w:t>Hemant</w:t>
      </w:r>
      <w:proofErr w:type="spellEnd"/>
      <w:r w:rsidR="00903050" w:rsidRPr="00D015C4">
        <w:rPr>
          <w:rFonts w:ascii="Bookman Old Style" w:hAnsi="Bookman Old Style"/>
          <w:b/>
          <w:bCs/>
          <w:i/>
          <w:iCs/>
          <w:sz w:val="24"/>
          <w:szCs w:val="24"/>
        </w:rPr>
        <w:t xml:space="preserve"> </w:t>
      </w:r>
      <w:proofErr w:type="spellStart"/>
      <w:r w:rsidR="00903050" w:rsidRPr="00D015C4">
        <w:rPr>
          <w:rFonts w:ascii="Bookman Old Style" w:hAnsi="Bookman Old Style"/>
          <w:b/>
          <w:bCs/>
          <w:i/>
          <w:iCs/>
          <w:sz w:val="24"/>
          <w:szCs w:val="24"/>
        </w:rPr>
        <w:t>Vimalnath</w:t>
      </w:r>
      <w:proofErr w:type="spellEnd"/>
      <w:r w:rsidR="00903050" w:rsidRPr="00D015C4">
        <w:rPr>
          <w:rFonts w:ascii="Bookman Old Style" w:hAnsi="Bookman Old Style"/>
          <w:b/>
          <w:bCs/>
          <w:i/>
          <w:iCs/>
          <w:sz w:val="24"/>
          <w:szCs w:val="24"/>
        </w:rPr>
        <w:t xml:space="preserve"> </w:t>
      </w:r>
      <w:proofErr w:type="spellStart"/>
      <w:r w:rsidR="00903050" w:rsidRPr="00D015C4">
        <w:rPr>
          <w:rFonts w:ascii="Bookman Old Style" w:hAnsi="Bookman Old Style"/>
          <w:b/>
          <w:bCs/>
          <w:i/>
          <w:iCs/>
          <w:sz w:val="24"/>
          <w:szCs w:val="24"/>
        </w:rPr>
        <w:t>Narichania</w:t>
      </w:r>
      <w:proofErr w:type="spellEnd"/>
      <w:r w:rsidRPr="00D015C4">
        <w:rPr>
          <w:rStyle w:val="FootnoteReference"/>
          <w:rFonts w:ascii="Bookman Old Style" w:hAnsi="Bookman Old Style"/>
          <w:b/>
          <w:bCs/>
          <w:i/>
          <w:iCs/>
          <w:sz w:val="24"/>
          <w:szCs w:val="24"/>
        </w:rPr>
        <w:footnoteReference w:id="22"/>
      </w:r>
      <w:r w:rsidRPr="00D015C4">
        <w:rPr>
          <w:rFonts w:ascii="Bookman Old Style" w:hAnsi="Bookman Old Style"/>
          <w:b/>
          <w:bCs/>
          <w:i/>
          <w:iCs/>
          <w:sz w:val="24"/>
          <w:szCs w:val="24"/>
        </w:rPr>
        <w:t xml:space="preserve">, </w:t>
      </w:r>
      <w:r w:rsidRPr="00D015C4">
        <w:rPr>
          <w:rFonts w:ascii="Bookman Old Style" w:hAnsi="Bookman Old Style"/>
          <w:sz w:val="24"/>
          <w:szCs w:val="24"/>
        </w:rPr>
        <w:t>in the following manner:</w:t>
      </w:r>
    </w:p>
    <w:p w14:paraId="08871237" w14:textId="6D3096BA" w:rsidR="00903050" w:rsidRPr="00D015C4" w:rsidRDefault="00903050" w:rsidP="00690E46">
      <w:pPr>
        <w:pStyle w:val="ListParagraph"/>
        <w:spacing w:after="200" w:line="240" w:lineRule="auto"/>
        <w:ind w:right="804"/>
        <w:contextualSpacing w:val="0"/>
        <w:jc w:val="both"/>
        <w:rPr>
          <w:rFonts w:ascii="Bookman Old Style" w:hAnsi="Bookman Old Style"/>
          <w:sz w:val="24"/>
          <w:szCs w:val="24"/>
          <w:u w:val="single"/>
        </w:rPr>
      </w:pPr>
      <w:r w:rsidRPr="00D015C4">
        <w:rPr>
          <w:rFonts w:ascii="Bookman Old Style" w:hAnsi="Bookman Old Style"/>
          <w:sz w:val="24"/>
          <w:szCs w:val="24"/>
        </w:rPr>
        <w:t xml:space="preserve">“25. The State is under obligation to act fairly without ill will or malice—in fact or in law. ‘Legal malice’ or ‘malice in law’ means something done without lawful excuse. It is an act done wrongfully and wilfully without reasonable or probable cause, and not necessarily an act done from ill feeling and spite. It is a deliberate act in </w:t>
      </w:r>
      <w:r w:rsidRPr="00D015C4">
        <w:rPr>
          <w:rFonts w:ascii="Bookman Old Style" w:hAnsi="Bookman Old Style"/>
          <w:sz w:val="24"/>
          <w:szCs w:val="24"/>
          <w:lang w:val="en-IN"/>
        </w:rPr>
        <w:t>disregard</w:t>
      </w:r>
      <w:r w:rsidRPr="00D015C4">
        <w:rPr>
          <w:rFonts w:ascii="Bookman Old Style" w:hAnsi="Bookman Old Style"/>
          <w:sz w:val="24"/>
          <w:szCs w:val="24"/>
        </w:rPr>
        <w:t xml:space="preserve"> to the rights of others. Where malice is attributed to the State, it can never be a case of personal ill will or spite on the part of the State. It is an </w:t>
      </w:r>
      <w:proofErr w:type="gramStart"/>
      <w:r w:rsidRPr="00D015C4">
        <w:rPr>
          <w:rFonts w:ascii="Bookman Old Style" w:hAnsi="Bookman Old Style"/>
          <w:sz w:val="24"/>
          <w:szCs w:val="24"/>
        </w:rPr>
        <w:t>act which</w:t>
      </w:r>
      <w:proofErr w:type="gramEnd"/>
      <w:r w:rsidRPr="00D015C4">
        <w:rPr>
          <w:rFonts w:ascii="Bookman Old Style" w:hAnsi="Bookman Old Style"/>
          <w:sz w:val="24"/>
          <w:szCs w:val="24"/>
        </w:rPr>
        <w:t xml:space="preserve"> is taken with an oblique or indirect object. It means exercise of statutory power for ‘purposes foreign to those for which it is in law intended’. </w:t>
      </w:r>
      <w:r w:rsidRPr="00D015C4">
        <w:rPr>
          <w:rFonts w:ascii="Bookman Old Style" w:hAnsi="Bookman Old Style"/>
          <w:sz w:val="24"/>
          <w:szCs w:val="24"/>
          <w:u w:val="single"/>
        </w:rPr>
        <w:t>It means conscious violation of the law to the prejudice of another, a depraved inclination on the part of the authority to disregard the rights of others, which intent is manifested by its injurious acts. …”</w:t>
      </w:r>
    </w:p>
    <w:p w14:paraId="7C134352" w14:textId="58694A02" w:rsidR="00633AF4" w:rsidRPr="00D015C4" w:rsidRDefault="00633AF4" w:rsidP="00690E46">
      <w:pPr>
        <w:pStyle w:val="ListParagraph"/>
        <w:spacing w:after="200" w:line="240" w:lineRule="auto"/>
        <w:ind w:right="804"/>
        <w:contextualSpacing w:val="0"/>
        <w:jc w:val="both"/>
        <w:rPr>
          <w:rFonts w:ascii="Bookman Old Style" w:hAnsi="Bookman Old Style"/>
          <w:sz w:val="24"/>
          <w:szCs w:val="24"/>
        </w:rPr>
      </w:pPr>
      <w:r w:rsidRPr="00D015C4">
        <w:rPr>
          <w:rFonts w:ascii="Bookman Old Style" w:hAnsi="Bookman Old Style"/>
          <w:sz w:val="24"/>
          <w:szCs w:val="24"/>
        </w:rPr>
        <w:t xml:space="preserve">26. </w:t>
      </w:r>
      <w:r w:rsidRPr="00D015C4">
        <w:rPr>
          <w:rFonts w:ascii="Bookman Old Style" w:hAnsi="Bookman Old Style"/>
          <w:sz w:val="24"/>
          <w:szCs w:val="24"/>
          <w:u w:val="single"/>
        </w:rPr>
        <w:t>Passing an order for an unauthorised purpose constitutes malice in law.”</w:t>
      </w:r>
    </w:p>
    <w:p w14:paraId="18DAF920" w14:textId="77777777" w:rsidR="00633AF4" w:rsidRPr="00D015C4" w:rsidRDefault="00633AF4" w:rsidP="00690E46">
      <w:pPr>
        <w:pStyle w:val="ListParagraph"/>
        <w:spacing w:after="200" w:line="240" w:lineRule="auto"/>
        <w:ind w:left="1701" w:right="805"/>
        <w:contextualSpacing w:val="0"/>
        <w:jc w:val="right"/>
        <w:rPr>
          <w:rFonts w:ascii="Bookman Old Style" w:hAnsi="Bookman Old Style"/>
          <w:sz w:val="24"/>
          <w:szCs w:val="24"/>
        </w:rPr>
      </w:pPr>
      <w:r w:rsidRPr="00D015C4">
        <w:rPr>
          <w:rFonts w:ascii="Bookman Old Style" w:hAnsi="Bookman Old Style"/>
          <w:sz w:val="24"/>
          <w:szCs w:val="24"/>
        </w:rPr>
        <w:lastRenderedPageBreak/>
        <w:t>[</w:t>
      </w:r>
      <w:r w:rsidRPr="00D015C4">
        <w:rPr>
          <w:rFonts w:ascii="Bookman Old Style" w:hAnsi="Bookman Old Style"/>
          <w:sz w:val="24"/>
          <w:szCs w:val="24"/>
          <w:lang w:val="en-IN"/>
        </w:rPr>
        <w:t>Emphasis</w:t>
      </w:r>
      <w:r w:rsidRPr="00D015C4">
        <w:rPr>
          <w:rFonts w:ascii="Bookman Old Style" w:hAnsi="Bookman Old Style"/>
          <w:sz w:val="24"/>
          <w:szCs w:val="24"/>
        </w:rPr>
        <w:t xml:space="preserve"> added]</w:t>
      </w:r>
    </w:p>
    <w:p w14:paraId="31B571C9" w14:textId="77777777" w:rsidR="00633AF4" w:rsidRPr="00D015C4" w:rsidRDefault="00633AF4" w:rsidP="00690E46">
      <w:pPr>
        <w:pStyle w:val="ListParagraph"/>
        <w:spacing w:after="200" w:line="240" w:lineRule="auto"/>
        <w:ind w:right="804"/>
        <w:contextualSpacing w:val="0"/>
        <w:jc w:val="both"/>
        <w:rPr>
          <w:rFonts w:ascii="Bookman Old Style" w:hAnsi="Bookman Old Style"/>
          <w:sz w:val="24"/>
          <w:szCs w:val="24"/>
        </w:rPr>
      </w:pPr>
    </w:p>
    <w:p w14:paraId="3EA1844D" w14:textId="7F474B9B" w:rsidR="00903050" w:rsidRPr="00D015C4" w:rsidRDefault="00E52EC3"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In this regard, it shall be fruitful to refer to the decision of the supreme Court in</w:t>
      </w:r>
      <w:r w:rsidR="00903050" w:rsidRPr="00D015C4">
        <w:rPr>
          <w:rFonts w:ascii="Bookman Old Style" w:hAnsi="Bookman Old Style"/>
          <w:sz w:val="24"/>
          <w:szCs w:val="24"/>
        </w:rPr>
        <w:t xml:space="preserve"> </w:t>
      </w:r>
      <w:r w:rsidR="00903050" w:rsidRPr="00D015C4">
        <w:rPr>
          <w:rFonts w:ascii="Bookman Old Style" w:hAnsi="Bookman Old Style"/>
          <w:b/>
          <w:bCs/>
          <w:i/>
          <w:iCs/>
          <w:sz w:val="24"/>
          <w:szCs w:val="24"/>
        </w:rPr>
        <w:t xml:space="preserve">State of Bihar v. </w:t>
      </w:r>
      <w:proofErr w:type="spellStart"/>
      <w:r w:rsidR="00903050" w:rsidRPr="00D015C4">
        <w:rPr>
          <w:rFonts w:ascii="Bookman Old Style" w:hAnsi="Bookman Old Style"/>
          <w:b/>
          <w:bCs/>
          <w:i/>
          <w:iCs/>
          <w:sz w:val="24"/>
          <w:szCs w:val="24"/>
        </w:rPr>
        <w:t>Sonabati</w:t>
      </w:r>
      <w:proofErr w:type="spellEnd"/>
      <w:r w:rsidR="00903050" w:rsidRPr="00D015C4">
        <w:rPr>
          <w:rFonts w:ascii="Bookman Old Style" w:hAnsi="Bookman Old Style"/>
          <w:b/>
          <w:bCs/>
          <w:i/>
          <w:iCs/>
          <w:sz w:val="24"/>
          <w:szCs w:val="24"/>
        </w:rPr>
        <w:t xml:space="preserve"> </w:t>
      </w:r>
      <w:proofErr w:type="spellStart"/>
      <w:r w:rsidR="00903050" w:rsidRPr="00D015C4">
        <w:rPr>
          <w:rFonts w:ascii="Bookman Old Style" w:hAnsi="Bookman Old Style"/>
          <w:b/>
          <w:bCs/>
          <w:i/>
          <w:iCs/>
          <w:sz w:val="24"/>
          <w:szCs w:val="24"/>
        </w:rPr>
        <w:t>Kumari</w:t>
      </w:r>
      <w:proofErr w:type="spellEnd"/>
      <w:r w:rsidR="00903050" w:rsidRPr="00D015C4">
        <w:rPr>
          <w:rStyle w:val="FootnoteReference"/>
          <w:rFonts w:ascii="Bookman Old Style" w:hAnsi="Bookman Old Style"/>
          <w:b/>
          <w:bCs/>
          <w:sz w:val="24"/>
          <w:szCs w:val="24"/>
        </w:rPr>
        <w:footnoteReference w:id="23"/>
      </w:r>
      <w:r w:rsidR="00903050" w:rsidRPr="00D015C4">
        <w:rPr>
          <w:rFonts w:ascii="Bookman Old Style" w:hAnsi="Bookman Old Style"/>
          <w:sz w:val="24"/>
          <w:szCs w:val="24"/>
        </w:rPr>
        <w:t xml:space="preserve">, </w:t>
      </w:r>
      <w:r w:rsidRPr="00D015C4">
        <w:rPr>
          <w:rFonts w:ascii="Bookman Old Style" w:hAnsi="Bookman Old Style"/>
          <w:sz w:val="24"/>
          <w:szCs w:val="24"/>
        </w:rPr>
        <w:t xml:space="preserve">wherein the Court observed thus: </w:t>
      </w:r>
    </w:p>
    <w:p w14:paraId="555D4DB2" w14:textId="4C167A88" w:rsidR="00903050" w:rsidRPr="00D015C4" w:rsidRDefault="00903050" w:rsidP="00690E46">
      <w:pPr>
        <w:pStyle w:val="ListParagraph"/>
        <w:spacing w:after="200" w:line="240" w:lineRule="auto"/>
        <w:ind w:right="804"/>
        <w:contextualSpacing w:val="0"/>
        <w:jc w:val="both"/>
        <w:rPr>
          <w:rFonts w:ascii="Bookman Old Style" w:hAnsi="Bookman Old Style"/>
          <w:sz w:val="24"/>
          <w:szCs w:val="24"/>
        </w:rPr>
      </w:pPr>
      <w:r w:rsidRPr="00D015C4">
        <w:rPr>
          <w:rFonts w:ascii="Bookman Old Style" w:hAnsi="Bookman Old Style"/>
          <w:sz w:val="24"/>
          <w:szCs w:val="24"/>
        </w:rPr>
        <w:t>“It is of the essence of the rule of law that every authority within the State including the Executive Government should consider itself bound by and obey the Law.</w:t>
      </w:r>
      <w:r w:rsidR="004C54F3" w:rsidRPr="00D015C4">
        <w:rPr>
          <w:rFonts w:ascii="Bookman Old Style" w:hAnsi="Bookman Old Style"/>
          <w:sz w:val="24"/>
          <w:szCs w:val="24"/>
        </w:rPr>
        <w:t>”</w:t>
      </w:r>
    </w:p>
    <w:p w14:paraId="777A89B1" w14:textId="10FD48E3" w:rsidR="00903050" w:rsidRPr="00D015C4" w:rsidRDefault="00903050" w:rsidP="00690E46">
      <w:pPr>
        <w:spacing w:after="200" w:line="240" w:lineRule="auto"/>
        <w:jc w:val="both"/>
        <w:rPr>
          <w:rFonts w:ascii="Bookman Old Style" w:hAnsi="Bookman Old Style"/>
          <w:i/>
          <w:iCs/>
          <w:sz w:val="24"/>
          <w:szCs w:val="24"/>
        </w:rPr>
      </w:pPr>
      <w:r w:rsidRPr="00D015C4">
        <w:rPr>
          <w:rFonts w:ascii="Bookman Old Style" w:hAnsi="Bookman Old Style"/>
          <w:sz w:val="24"/>
          <w:szCs w:val="24"/>
        </w:rPr>
        <w:t>And again</w:t>
      </w:r>
      <w:r w:rsidR="00E74F70" w:rsidRPr="00D015C4">
        <w:rPr>
          <w:rFonts w:ascii="Bookman Old Style" w:hAnsi="Bookman Old Style"/>
          <w:sz w:val="24"/>
          <w:szCs w:val="24"/>
        </w:rPr>
        <w:t>:</w:t>
      </w:r>
    </w:p>
    <w:p w14:paraId="71A65F29" w14:textId="35E50E84" w:rsidR="00E10F47" w:rsidRPr="00D015C4" w:rsidRDefault="00E74F70" w:rsidP="00690E46">
      <w:pPr>
        <w:pStyle w:val="ListParagraph"/>
        <w:spacing w:after="200" w:line="240" w:lineRule="auto"/>
        <w:ind w:right="804"/>
        <w:contextualSpacing w:val="0"/>
        <w:jc w:val="both"/>
        <w:rPr>
          <w:rFonts w:ascii="Bookman Old Style" w:hAnsi="Bookman Old Style"/>
          <w:sz w:val="24"/>
          <w:szCs w:val="24"/>
        </w:rPr>
      </w:pPr>
      <w:r w:rsidRPr="00D015C4">
        <w:rPr>
          <w:rFonts w:ascii="Bookman Old Style" w:hAnsi="Bookman Old Style"/>
          <w:sz w:val="24"/>
          <w:szCs w:val="24"/>
        </w:rPr>
        <w:t>“</w:t>
      </w:r>
      <w:r w:rsidR="00903050" w:rsidRPr="00D015C4">
        <w:rPr>
          <w:rFonts w:ascii="Bookman Old Style" w:hAnsi="Bookman Old Style"/>
          <w:sz w:val="24"/>
          <w:szCs w:val="24"/>
        </w:rPr>
        <w:t>When the State Government obeys a law, or gives effect to an order of a Court passed against it, it is not doing anything which detracts from its dignity, but rather, invests the law and the Courts with the dignity which are their due, which enhances the prestige of the executive Government itself, in a democratic set-up.”</w:t>
      </w:r>
    </w:p>
    <w:p w14:paraId="2F6AAA75" w14:textId="77777777" w:rsidR="00182353" w:rsidRPr="00D015C4" w:rsidRDefault="00182353" w:rsidP="00690E46">
      <w:pPr>
        <w:pStyle w:val="ListParagraph"/>
        <w:spacing w:after="200" w:line="240" w:lineRule="auto"/>
        <w:ind w:right="804"/>
        <w:contextualSpacing w:val="0"/>
        <w:jc w:val="both"/>
        <w:rPr>
          <w:rFonts w:ascii="Bookman Old Style" w:hAnsi="Bookman Old Style"/>
          <w:sz w:val="24"/>
          <w:szCs w:val="24"/>
        </w:rPr>
      </w:pPr>
    </w:p>
    <w:p w14:paraId="0045F4F8" w14:textId="7293A647" w:rsidR="00182353" w:rsidRPr="00D015C4" w:rsidRDefault="00E10F4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In light of the judgments and </w:t>
      </w:r>
      <w:r w:rsidR="003640F8" w:rsidRPr="00D015C4">
        <w:rPr>
          <w:rFonts w:ascii="Bookman Old Style" w:hAnsi="Bookman Old Style"/>
          <w:sz w:val="24"/>
          <w:szCs w:val="24"/>
        </w:rPr>
        <w:t>law-discussed</w:t>
      </w:r>
      <w:r w:rsidRPr="00D015C4">
        <w:rPr>
          <w:rFonts w:ascii="Bookman Old Style" w:hAnsi="Bookman Old Style"/>
          <w:sz w:val="24"/>
          <w:szCs w:val="24"/>
        </w:rPr>
        <w:t xml:space="preserve"> hereinabove, it is limpid that the Government of India has a positive duty to obey and take steps to ensure compliance of the decision of the Supreme Court in </w:t>
      </w:r>
      <w:r w:rsidRPr="00D015C4">
        <w:rPr>
          <w:rFonts w:ascii="Bookman Old Style" w:hAnsi="Bookman Old Style"/>
          <w:b/>
          <w:i/>
          <w:sz w:val="24"/>
          <w:szCs w:val="24"/>
        </w:rPr>
        <w:t xml:space="preserve">Association of Unified Telecom Service Providers of India </w:t>
      </w:r>
      <w:r w:rsidRPr="00D015C4">
        <w:rPr>
          <w:rFonts w:ascii="Bookman Old Style" w:hAnsi="Bookman Old Style"/>
          <w:bCs/>
          <w:iCs/>
          <w:sz w:val="24"/>
          <w:szCs w:val="24"/>
        </w:rPr>
        <w:t xml:space="preserve">(supra). As </w:t>
      </w:r>
      <w:r w:rsidRPr="00D015C4">
        <w:rPr>
          <w:rFonts w:ascii="Bookman Old Style" w:hAnsi="Bookman Old Style"/>
          <w:sz w:val="24"/>
          <w:szCs w:val="24"/>
        </w:rPr>
        <w:t>it is ostensible that waiver and/or moratorium, as sought by the Cellular Operators Association of India</w:t>
      </w:r>
      <w:r w:rsidR="005065A7" w:rsidRPr="00D015C4">
        <w:rPr>
          <w:rFonts w:ascii="Bookman Old Style" w:hAnsi="Bookman Old Style"/>
          <w:sz w:val="24"/>
          <w:szCs w:val="24"/>
        </w:rPr>
        <w:t xml:space="preserve"> would tantamount to overruling the Judgment and order of the Supreme Court</w:t>
      </w:r>
      <w:r w:rsidRPr="00D015C4">
        <w:rPr>
          <w:rFonts w:ascii="Bookman Old Style" w:hAnsi="Bookman Old Style"/>
          <w:sz w:val="24"/>
          <w:szCs w:val="24"/>
        </w:rPr>
        <w:t xml:space="preserve">. It is for this reason, that it </w:t>
      </w:r>
      <w:r w:rsidR="005065A7" w:rsidRPr="00D015C4">
        <w:rPr>
          <w:rFonts w:ascii="Bookman Old Style" w:hAnsi="Bookman Old Style"/>
          <w:sz w:val="24"/>
          <w:szCs w:val="24"/>
        </w:rPr>
        <w:t>would</w:t>
      </w:r>
      <w:r w:rsidRPr="00D015C4">
        <w:rPr>
          <w:rFonts w:ascii="Bookman Old Style" w:hAnsi="Bookman Old Style"/>
          <w:sz w:val="24"/>
          <w:szCs w:val="24"/>
        </w:rPr>
        <w:t xml:space="preserve"> legally </w:t>
      </w:r>
      <w:r w:rsidR="005065A7" w:rsidRPr="00D015C4">
        <w:rPr>
          <w:rFonts w:ascii="Bookman Old Style" w:hAnsi="Bookman Old Style"/>
          <w:sz w:val="24"/>
          <w:szCs w:val="24"/>
        </w:rPr>
        <w:t>vulnerable</w:t>
      </w:r>
      <w:r w:rsidRPr="00D015C4">
        <w:rPr>
          <w:rFonts w:ascii="Bookman Old Style" w:hAnsi="Bookman Old Style"/>
          <w:sz w:val="24"/>
          <w:szCs w:val="24"/>
        </w:rPr>
        <w:t xml:space="preserve"> for the Government of India </w:t>
      </w:r>
      <w:r w:rsidR="005065A7" w:rsidRPr="00D015C4">
        <w:rPr>
          <w:rFonts w:ascii="Bookman Old Style" w:hAnsi="Bookman Old Style"/>
          <w:sz w:val="24"/>
          <w:szCs w:val="24"/>
        </w:rPr>
        <w:t xml:space="preserve">to </w:t>
      </w:r>
      <w:r w:rsidRPr="00D015C4">
        <w:rPr>
          <w:rFonts w:ascii="Bookman Old Style" w:hAnsi="Bookman Old Style"/>
          <w:sz w:val="24"/>
          <w:szCs w:val="24"/>
        </w:rPr>
        <w:t>impose a moratorium of any duration</w:t>
      </w:r>
      <w:r w:rsidR="005065A7" w:rsidRPr="00D015C4">
        <w:rPr>
          <w:rFonts w:ascii="Bookman Old Style" w:hAnsi="Bookman Old Style"/>
          <w:sz w:val="24"/>
          <w:szCs w:val="24"/>
        </w:rPr>
        <w:t>, for</w:t>
      </w:r>
      <w:r w:rsidRPr="00D015C4">
        <w:rPr>
          <w:rFonts w:ascii="Bookman Old Style" w:hAnsi="Bookman Old Style"/>
          <w:sz w:val="24"/>
          <w:szCs w:val="24"/>
        </w:rPr>
        <w:t xml:space="preserve"> it would directly contravene the specific direction of the Supreme Court. </w:t>
      </w:r>
    </w:p>
    <w:p w14:paraId="0B695F5E" w14:textId="7F6B0830" w:rsidR="00E10F47" w:rsidRPr="00D015C4" w:rsidRDefault="00E10F4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 xml:space="preserve">As stated above, the Government has no power to modify the specific direction of the Court to the TSPs to pay the interest, penalty and interest </w:t>
      </w:r>
      <w:r w:rsidRPr="00D015C4">
        <w:rPr>
          <w:rFonts w:ascii="Bookman Old Style" w:hAnsi="Bookman Old Style"/>
          <w:sz w:val="24"/>
          <w:szCs w:val="24"/>
        </w:rPr>
        <w:lastRenderedPageBreak/>
        <w:t>on penalty. Moreover, given the background of this matter, the TSPs had 14 years to arrange their affairs and prepare themselves for the consequences if this litigation</w:t>
      </w:r>
      <w:r w:rsidR="00182353" w:rsidRPr="00D015C4">
        <w:rPr>
          <w:rFonts w:ascii="Bookman Old Style" w:hAnsi="Bookman Old Style"/>
          <w:sz w:val="24"/>
          <w:szCs w:val="24"/>
        </w:rPr>
        <w:t>, which fatefully</w:t>
      </w:r>
      <w:r w:rsidRPr="00D015C4">
        <w:rPr>
          <w:rFonts w:ascii="Bookman Old Style" w:hAnsi="Bookman Old Style"/>
          <w:sz w:val="24"/>
          <w:szCs w:val="24"/>
        </w:rPr>
        <w:t xml:space="preserve"> turned </w:t>
      </w:r>
      <w:r w:rsidR="00182353" w:rsidRPr="00D015C4">
        <w:rPr>
          <w:rFonts w:ascii="Bookman Old Style" w:hAnsi="Bookman Old Style"/>
          <w:sz w:val="24"/>
          <w:szCs w:val="24"/>
        </w:rPr>
        <w:t xml:space="preserve">out </w:t>
      </w:r>
      <w:r w:rsidRPr="00D015C4">
        <w:rPr>
          <w:rFonts w:ascii="Bookman Old Style" w:hAnsi="Bookman Old Style"/>
          <w:sz w:val="24"/>
          <w:szCs w:val="24"/>
        </w:rPr>
        <w:t xml:space="preserve">against </w:t>
      </w:r>
      <w:r w:rsidR="00182353" w:rsidRPr="00D015C4">
        <w:rPr>
          <w:rFonts w:ascii="Bookman Old Style" w:hAnsi="Bookman Old Style"/>
          <w:sz w:val="24"/>
          <w:szCs w:val="24"/>
        </w:rPr>
        <w:t>their interest</w:t>
      </w:r>
      <w:r w:rsidRPr="00D015C4">
        <w:rPr>
          <w:rFonts w:ascii="Bookman Old Style" w:hAnsi="Bookman Old Style"/>
          <w:sz w:val="24"/>
          <w:szCs w:val="24"/>
        </w:rPr>
        <w:t>. Any request for a two</w:t>
      </w:r>
      <w:r w:rsidR="00867748" w:rsidRPr="00D015C4">
        <w:rPr>
          <w:rFonts w:ascii="Bookman Old Style" w:hAnsi="Bookman Old Style"/>
          <w:sz w:val="24"/>
          <w:szCs w:val="24"/>
        </w:rPr>
        <w:t>-</w:t>
      </w:r>
      <w:r w:rsidRPr="00D015C4">
        <w:rPr>
          <w:rFonts w:ascii="Bookman Old Style" w:hAnsi="Bookman Old Style"/>
          <w:sz w:val="24"/>
          <w:szCs w:val="24"/>
        </w:rPr>
        <w:t xml:space="preserve">year moratorium </w:t>
      </w:r>
      <w:r w:rsidR="00182353" w:rsidRPr="00D015C4">
        <w:rPr>
          <w:rFonts w:ascii="Bookman Old Style" w:hAnsi="Bookman Old Style"/>
          <w:sz w:val="24"/>
          <w:szCs w:val="24"/>
        </w:rPr>
        <w:t>is</w:t>
      </w:r>
      <w:r w:rsidRPr="00D015C4">
        <w:rPr>
          <w:rFonts w:ascii="Bookman Old Style" w:hAnsi="Bookman Old Style"/>
          <w:sz w:val="24"/>
          <w:szCs w:val="24"/>
        </w:rPr>
        <w:t xml:space="preserve"> also outside the power of the Government to entertain because the Supreme Court has specifically given a period of three months to the TSPs to pay their </w:t>
      </w:r>
      <w:r w:rsidR="00570A96" w:rsidRPr="00D015C4">
        <w:rPr>
          <w:rFonts w:ascii="Bookman Old Style" w:hAnsi="Bookman Old Style"/>
          <w:sz w:val="24"/>
          <w:szCs w:val="24"/>
        </w:rPr>
        <w:t>long-held</w:t>
      </w:r>
      <w:r w:rsidRPr="00D015C4">
        <w:rPr>
          <w:rFonts w:ascii="Bookman Old Style" w:hAnsi="Bookman Old Style"/>
          <w:sz w:val="24"/>
          <w:szCs w:val="24"/>
        </w:rPr>
        <w:t xml:space="preserve"> dues.</w:t>
      </w:r>
    </w:p>
    <w:p w14:paraId="6C51FAA0" w14:textId="77777777" w:rsidR="00B34EC9" w:rsidRPr="00D015C4" w:rsidRDefault="00E10F4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From the aforesaid analysis certain aspect which constitute the fulcrum of respect for Rule of Law, obeisance to Court’s order</w:t>
      </w:r>
      <w:r w:rsidR="00182353" w:rsidRPr="00D015C4">
        <w:rPr>
          <w:rFonts w:ascii="Bookman Old Style" w:hAnsi="Bookman Old Style"/>
          <w:sz w:val="24"/>
          <w:szCs w:val="24"/>
        </w:rPr>
        <w:t>,</w:t>
      </w:r>
      <w:r w:rsidRPr="00D015C4">
        <w:rPr>
          <w:rFonts w:ascii="Bookman Old Style" w:hAnsi="Bookman Old Style"/>
          <w:sz w:val="24"/>
          <w:szCs w:val="24"/>
        </w:rPr>
        <w:t xml:space="preserve"> obligation to follow the mandate of law, absence of power to waive the dues and lack of authority to extend the period for payment are absolutely clear as crystal. </w:t>
      </w:r>
    </w:p>
    <w:p w14:paraId="1D789518" w14:textId="67708C57" w:rsidR="00E10F47" w:rsidRPr="00D015C4" w:rsidRDefault="00E10F47"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In addition, it is worthy to state</w:t>
      </w:r>
      <w:r w:rsidR="00867748" w:rsidRPr="00D015C4">
        <w:rPr>
          <w:rFonts w:ascii="Bookman Old Style" w:hAnsi="Bookman Old Style"/>
          <w:sz w:val="24"/>
          <w:szCs w:val="24"/>
        </w:rPr>
        <w:t xml:space="preserve"> </w:t>
      </w:r>
      <w:proofErr w:type="gramStart"/>
      <w:r w:rsidR="00867748" w:rsidRPr="00D015C4">
        <w:rPr>
          <w:rFonts w:ascii="Bookman Old Style" w:hAnsi="Bookman Old Style"/>
          <w:sz w:val="24"/>
          <w:szCs w:val="24"/>
        </w:rPr>
        <w:t>that</w:t>
      </w:r>
      <w:r w:rsidRPr="00D015C4">
        <w:rPr>
          <w:rFonts w:ascii="Bookman Old Style" w:hAnsi="Bookman Old Style"/>
          <w:sz w:val="24"/>
          <w:szCs w:val="24"/>
        </w:rPr>
        <w:t>,</w:t>
      </w:r>
      <w:proofErr w:type="gramEnd"/>
      <w:r w:rsidRPr="00D015C4">
        <w:rPr>
          <w:rFonts w:ascii="Bookman Old Style" w:hAnsi="Bookman Old Style"/>
          <w:sz w:val="24"/>
          <w:szCs w:val="24"/>
        </w:rPr>
        <w:t xml:space="preserve"> a state defending the fiscal interest of the collective after attaining the success in a Court of law cannot give it away for the benefit of a few individual companies. It will tantamount to creating an unacceptable dent to the exchequer. Under our constitutional framework, the State is obligated to manage its revenue in an apposite manner so that it can expend on citizens for sustenance of fundamental rights and also to see how far it can realize the dreams of the citizens. Waiver of huge sum to the litigating parties who have already availed of the benefits is conferment of premium on defaulter.</w:t>
      </w:r>
    </w:p>
    <w:p w14:paraId="3FE17818" w14:textId="77777777" w:rsidR="00135FA0" w:rsidRDefault="00135FA0" w:rsidP="00690E46">
      <w:pPr>
        <w:spacing w:after="200" w:line="480" w:lineRule="auto"/>
        <w:jc w:val="both"/>
        <w:rPr>
          <w:rFonts w:ascii="Bookman Old Style" w:hAnsi="Bookman Old Style"/>
          <w:b/>
          <w:color w:val="000000"/>
          <w:sz w:val="24"/>
          <w:szCs w:val="24"/>
          <w:u w:val="single"/>
        </w:rPr>
      </w:pPr>
    </w:p>
    <w:p w14:paraId="63C4DB8A" w14:textId="38152996" w:rsidR="00B34EC9" w:rsidRPr="00D015C4" w:rsidRDefault="00195635" w:rsidP="00690E46">
      <w:pPr>
        <w:spacing w:after="200" w:line="480" w:lineRule="auto"/>
        <w:jc w:val="both"/>
        <w:rPr>
          <w:rFonts w:ascii="Bookman Old Style" w:hAnsi="Bookman Old Style"/>
          <w:b/>
          <w:color w:val="000000"/>
          <w:sz w:val="24"/>
          <w:szCs w:val="24"/>
        </w:rPr>
      </w:pPr>
      <w:r>
        <w:rPr>
          <w:rFonts w:ascii="Bookman Old Style" w:hAnsi="Bookman Old Style"/>
          <w:b/>
          <w:color w:val="000000"/>
          <w:sz w:val="24"/>
          <w:szCs w:val="24"/>
          <w:u w:val="single"/>
        </w:rPr>
        <w:lastRenderedPageBreak/>
        <w:t>Conclusion</w:t>
      </w:r>
      <w:r w:rsidR="00B34EC9" w:rsidRPr="00D015C4">
        <w:rPr>
          <w:rFonts w:ascii="Bookman Old Style" w:hAnsi="Bookman Old Style"/>
          <w:b/>
          <w:color w:val="000000"/>
          <w:sz w:val="24"/>
          <w:szCs w:val="24"/>
        </w:rPr>
        <w:t>:</w:t>
      </w:r>
    </w:p>
    <w:p w14:paraId="084975AB" w14:textId="7FF1DABD" w:rsidR="00B34EC9" w:rsidRPr="00D015C4" w:rsidRDefault="00B34EC9" w:rsidP="00690E46">
      <w:pPr>
        <w:pStyle w:val="ListParagraph"/>
        <w:numPr>
          <w:ilvl w:val="0"/>
          <w:numId w:val="2"/>
        </w:numPr>
        <w:spacing w:after="200" w:line="480" w:lineRule="auto"/>
        <w:contextualSpacing w:val="0"/>
        <w:jc w:val="both"/>
        <w:rPr>
          <w:rFonts w:ascii="Bookman Old Style" w:hAnsi="Bookman Old Style"/>
          <w:sz w:val="24"/>
          <w:szCs w:val="24"/>
        </w:rPr>
      </w:pPr>
      <w:r w:rsidRPr="00D015C4">
        <w:rPr>
          <w:rFonts w:ascii="Bookman Old Style" w:hAnsi="Bookman Old Style"/>
          <w:sz w:val="24"/>
          <w:szCs w:val="24"/>
        </w:rPr>
        <w:t>In</w:t>
      </w:r>
      <w:r w:rsidR="003640F8">
        <w:rPr>
          <w:rFonts w:ascii="Bookman Old Style" w:hAnsi="Bookman Old Style"/>
          <w:sz w:val="24"/>
          <w:szCs w:val="24"/>
        </w:rPr>
        <w:t xml:space="preserve"> view of the foregoing analysis, </w:t>
      </w:r>
      <w:r w:rsidRPr="00D015C4">
        <w:rPr>
          <w:rFonts w:ascii="Bookman Old Style" w:hAnsi="Bookman Old Style"/>
          <w:sz w:val="24"/>
          <w:szCs w:val="24"/>
        </w:rPr>
        <w:t xml:space="preserve">the </w:t>
      </w:r>
      <w:r w:rsidR="003640F8">
        <w:rPr>
          <w:rFonts w:ascii="Bookman Old Style" w:hAnsi="Bookman Old Style"/>
          <w:sz w:val="24"/>
          <w:szCs w:val="24"/>
        </w:rPr>
        <w:t xml:space="preserve">findings emerge as </w:t>
      </w:r>
      <w:r w:rsidRPr="00D015C4">
        <w:rPr>
          <w:rFonts w:ascii="Bookman Old Style" w:hAnsi="Bookman Old Style"/>
          <w:sz w:val="24"/>
          <w:szCs w:val="24"/>
        </w:rPr>
        <w:t>follows:</w:t>
      </w:r>
    </w:p>
    <w:p w14:paraId="599A497F" w14:textId="77777777" w:rsidR="00B34EC9" w:rsidRPr="00D015C4" w:rsidRDefault="00B34EC9" w:rsidP="00690E46">
      <w:pPr>
        <w:pStyle w:val="ListParagraph"/>
        <w:numPr>
          <w:ilvl w:val="0"/>
          <w:numId w:val="13"/>
        </w:numPr>
        <w:spacing w:after="200" w:line="480" w:lineRule="auto"/>
        <w:contextualSpacing w:val="0"/>
        <w:jc w:val="both"/>
        <w:rPr>
          <w:rFonts w:ascii="Bookman Old Style" w:hAnsi="Bookman Old Style"/>
          <w:bCs/>
          <w:color w:val="000000"/>
          <w:sz w:val="24"/>
          <w:szCs w:val="24"/>
        </w:rPr>
      </w:pPr>
      <w:r w:rsidRPr="00D015C4">
        <w:rPr>
          <w:rFonts w:ascii="Bookman Old Style" w:hAnsi="Bookman Old Style"/>
          <w:bCs/>
          <w:color w:val="000000"/>
          <w:sz w:val="24"/>
          <w:szCs w:val="24"/>
        </w:rPr>
        <w:t>The Central Government cannot give financial relief by waiving off already raised demands for balance license fee and SUC, interest, penalty thereupon, and interest on penalty by an executive decision/ in its capacity as licensor, against the order of the Supreme Court of India.</w:t>
      </w:r>
    </w:p>
    <w:p w14:paraId="7131C309" w14:textId="41C5FFF7" w:rsidR="00B34EC9" w:rsidRPr="00D015C4" w:rsidRDefault="00B34EC9" w:rsidP="00690E46">
      <w:pPr>
        <w:pStyle w:val="ListParagraph"/>
        <w:numPr>
          <w:ilvl w:val="0"/>
          <w:numId w:val="13"/>
        </w:numPr>
        <w:spacing w:after="200" w:line="480" w:lineRule="auto"/>
        <w:contextualSpacing w:val="0"/>
        <w:jc w:val="both"/>
        <w:rPr>
          <w:rFonts w:ascii="Bookman Old Style" w:hAnsi="Bookman Old Style"/>
          <w:bCs/>
          <w:color w:val="000000"/>
          <w:sz w:val="24"/>
          <w:szCs w:val="24"/>
        </w:rPr>
      </w:pPr>
      <w:r w:rsidRPr="00D015C4">
        <w:rPr>
          <w:rFonts w:ascii="Bookman Old Style" w:hAnsi="Bookman Old Style"/>
          <w:bCs/>
          <w:color w:val="000000"/>
          <w:sz w:val="24"/>
          <w:szCs w:val="24"/>
        </w:rPr>
        <w:t xml:space="preserve">Central Government cannot grant more time, than three months from the date of order, for making payment </w:t>
      </w:r>
      <w:r w:rsidR="00E529A9" w:rsidRPr="00D015C4">
        <w:rPr>
          <w:rFonts w:ascii="Bookman Old Style" w:hAnsi="Bookman Old Style"/>
          <w:bCs/>
          <w:color w:val="000000"/>
          <w:sz w:val="24"/>
          <w:szCs w:val="24"/>
        </w:rPr>
        <w:t>as directed</w:t>
      </w:r>
      <w:r w:rsidRPr="00D015C4">
        <w:rPr>
          <w:rFonts w:ascii="Bookman Old Style" w:hAnsi="Bookman Old Style"/>
          <w:bCs/>
          <w:color w:val="000000"/>
          <w:sz w:val="24"/>
          <w:szCs w:val="24"/>
        </w:rPr>
        <w:t xml:space="preserve"> </w:t>
      </w:r>
      <w:r w:rsidR="003640F8">
        <w:rPr>
          <w:rFonts w:ascii="Bookman Old Style" w:hAnsi="Bookman Old Style"/>
          <w:bCs/>
          <w:color w:val="000000"/>
          <w:sz w:val="24"/>
          <w:szCs w:val="24"/>
        </w:rPr>
        <w:t>by the Supreme Court vide order-</w:t>
      </w:r>
      <w:r w:rsidRPr="00D015C4">
        <w:rPr>
          <w:rFonts w:ascii="Bookman Old Style" w:hAnsi="Bookman Old Style"/>
          <w:bCs/>
          <w:color w:val="000000"/>
          <w:sz w:val="24"/>
          <w:szCs w:val="24"/>
        </w:rPr>
        <w:t>dated 24.10.2019.</w:t>
      </w:r>
    </w:p>
    <w:p w14:paraId="7613B644" w14:textId="4CFA4285" w:rsidR="00B34EC9" w:rsidRPr="00D015C4" w:rsidRDefault="00B34EC9" w:rsidP="00690E46">
      <w:pPr>
        <w:pStyle w:val="ListParagraph"/>
        <w:numPr>
          <w:ilvl w:val="0"/>
          <w:numId w:val="13"/>
        </w:numPr>
        <w:spacing w:after="200" w:line="480" w:lineRule="auto"/>
        <w:contextualSpacing w:val="0"/>
        <w:jc w:val="both"/>
        <w:rPr>
          <w:rFonts w:ascii="Bookman Old Style" w:hAnsi="Bookman Old Style"/>
          <w:sz w:val="24"/>
          <w:szCs w:val="24"/>
        </w:rPr>
      </w:pPr>
      <w:r w:rsidRPr="00D015C4">
        <w:rPr>
          <w:rFonts w:ascii="Bookman Old Style" w:hAnsi="Bookman Old Style"/>
          <w:bCs/>
          <w:color w:val="000000"/>
          <w:sz w:val="24"/>
          <w:szCs w:val="24"/>
        </w:rPr>
        <w:t>Central Government can</w:t>
      </w:r>
      <w:r w:rsidR="00E529A9" w:rsidRPr="00D015C4">
        <w:rPr>
          <w:rFonts w:ascii="Bookman Old Style" w:hAnsi="Bookman Old Style"/>
          <w:bCs/>
          <w:color w:val="000000"/>
          <w:sz w:val="24"/>
          <w:szCs w:val="24"/>
        </w:rPr>
        <w:t>not</w:t>
      </w:r>
      <w:r w:rsidRPr="00D015C4">
        <w:rPr>
          <w:rFonts w:ascii="Bookman Old Style" w:hAnsi="Bookman Old Style"/>
          <w:bCs/>
          <w:color w:val="000000"/>
          <w:sz w:val="24"/>
          <w:szCs w:val="24"/>
        </w:rPr>
        <w:t xml:space="preserve"> waive its legitimate dues, which have been upheld by the Supreme Court and </w:t>
      </w:r>
      <w:r w:rsidR="00E529A9" w:rsidRPr="00D015C4">
        <w:rPr>
          <w:rFonts w:ascii="Bookman Old Style" w:hAnsi="Bookman Old Style"/>
          <w:bCs/>
          <w:color w:val="000000"/>
          <w:sz w:val="24"/>
          <w:szCs w:val="24"/>
        </w:rPr>
        <w:t>are</w:t>
      </w:r>
      <w:r w:rsidRPr="00D015C4">
        <w:rPr>
          <w:rFonts w:ascii="Bookman Old Style" w:hAnsi="Bookman Old Style"/>
          <w:bCs/>
          <w:color w:val="000000"/>
          <w:sz w:val="24"/>
          <w:szCs w:val="24"/>
        </w:rPr>
        <w:t xml:space="preserve"> to be paid by a private entity under a </w:t>
      </w:r>
      <w:r w:rsidR="00E529A9" w:rsidRPr="00D015C4">
        <w:rPr>
          <w:rFonts w:ascii="Bookman Old Style" w:hAnsi="Bookman Old Style"/>
          <w:bCs/>
          <w:color w:val="000000"/>
          <w:sz w:val="24"/>
          <w:szCs w:val="24"/>
        </w:rPr>
        <w:t xml:space="preserve">license </w:t>
      </w:r>
      <w:r w:rsidRPr="00D015C4">
        <w:rPr>
          <w:rFonts w:ascii="Bookman Old Style" w:hAnsi="Bookman Old Style"/>
          <w:bCs/>
          <w:color w:val="000000"/>
          <w:sz w:val="24"/>
          <w:szCs w:val="24"/>
        </w:rPr>
        <w:t>agreement</w:t>
      </w:r>
      <w:r w:rsidR="00E529A9" w:rsidRPr="00D015C4">
        <w:rPr>
          <w:rFonts w:ascii="Bookman Old Style" w:hAnsi="Bookman Old Style"/>
          <w:bCs/>
          <w:color w:val="000000"/>
          <w:sz w:val="24"/>
          <w:szCs w:val="24"/>
        </w:rPr>
        <w:t>.</w:t>
      </w:r>
    </w:p>
    <w:p w14:paraId="0D89A101" w14:textId="73F24A53"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311A3D60" w14:textId="56B16304"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6E3073CE" w14:textId="53D7A07E"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1234E8F4" w14:textId="12D990B1"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3F9084AF" w14:textId="263EF1C3"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57CD848E" w14:textId="026316B4"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2E6AA613" w14:textId="4C71E099"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47C2392E" w14:textId="01186D43"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212444C3" w14:textId="076EA0C5"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3A1A5FD3" w14:textId="77777777" w:rsidR="00E10F47" w:rsidRPr="00D015C4" w:rsidRDefault="00E10F47" w:rsidP="00690E46">
      <w:pPr>
        <w:pStyle w:val="ListParagraph"/>
        <w:spacing w:after="200" w:line="240" w:lineRule="auto"/>
        <w:ind w:right="804"/>
        <w:contextualSpacing w:val="0"/>
        <w:jc w:val="both"/>
        <w:rPr>
          <w:rFonts w:ascii="Bookman Old Style" w:hAnsi="Bookman Old Style"/>
          <w:sz w:val="24"/>
          <w:szCs w:val="24"/>
        </w:rPr>
      </w:pPr>
    </w:p>
    <w:p w14:paraId="4956B875" w14:textId="77777777" w:rsidR="00FC24CE" w:rsidRPr="00D015C4" w:rsidRDefault="00FC24CE" w:rsidP="00690E46">
      <w:pPr>
        <w:spacing w:after="200"/>
        <w:rPr>
          <w:sz w:val="24"/>
          <w:szCs w:val="24"/>
        </w:rPr>
      </w:pPr>
    </w:p>
    <w:sectPr w:rsidR="00FC24CE" w:rsidRPr="00D015C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EA1D8" w14:textId="77777777" w:rsidR="00135FA0" w:rsidRDefault="00135FA0" w:rsidP="009D4B9F">
      <w:pPr>
        <w:spacing w:after="0" w:line="240" w:lineRule="auto"/>
      </w:pPr>
      <w:r>
        <w:separator/>
      </w:r>
    </w:p>
  </w:endnote>
  <w:endnote w:type="continuationSeparator" w:id="0">
    <w:p w14:paraId="4C491E99" w14:textId="77777777" w:rsidR="00135FA0" w:rsidRDefault="00135FA0" w:rsidP="009D4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Open Sans">
    <w:altName w:val="Segoe UI"/>
    <w:charset w:val="00"/>
    <w:family w:val="swiss"/>
    <w:pitch w:val="variable"/>
    <w:sig w:usb0="E00002EF" w:usb1="4000205B" w:usb2="00000028" w:usb3="00000000" w:csb0="0000019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78CEA" w14:textId="77777777" w:rsidR="00135FA0" w:rsidRDefault="00135FA0" w:rsidP="009D4B9F">
      <w:pPr>
        <w:spacing w:after="0" w:line="240" w:lineRule="auto"/>
      </w:pPr>
      <w:r>
        <w:separator/>
      </w:r>
    </w:p>
  </w:footnote>
  <w:footnote w:type="continuationSeparator" w:id="0">
    <w:p w14:paraId="397A0871" w14:textId="77777777" w:rsidR="00135FA0" w:rsidRDefault="00135FA0" w:rsidP="009D4B9F">
      <w:pPr>
        <w:spacing w:after="0" w:line="240" w:lineRule="auto"/>
      </w:pPr>
      <w:r>
        <w:continuationSeparator/>
      </w:r>
    </w:p>
  </w:footnote>
  <w:footnote w:id="1">
    <w:p w14:paraId="1B7C6047" w14:textId="77777777" w:rsidR="00135FA0" w:rsidRPr="00577B1C" w:rsidRDefault="00135FA0" w:rsidP="009D4B9F">
      <w:pPr>
        <w:pStyle w:val="FootnoteText"/>
        <w:rPr>
          <w:rFonts w:ascii="Bookman Old Style" w:hAnsi="Bookman Old Style"/>
          <w:lang w:val="en-IN"/>
        </w:rPr>
      </w:pPr>
      <w:r w:rsidRPr="00577B1C">
        <w:rPr>
          <w:rStyle w:val="FootnoteReference"/>
          <w:rFonts w:ascii="Bookman Old Style" w:hAnsi="Bookman Old Style"/>
        </w:rPr>
        <w:footnoteRef/>
      </w:r>
      <w:r w:rsidRPr="00577B1C">
        <w:rPr>
          <w:rFonts w:ascii="Bookman Old Style" w:hAnsi="Bookman Old Style"/>
        </w:rPr>
        <w:t xml:space="preserve"> </w:t>
      </w:r>
      <w:r w:rsidRPr="00577B1C">
        <w:rPr>
          <w:rFonts w:ascii="Bookman Old Style" w:hAnsi="Bookman Old Style"/>
          <w:lang w:val="en-IN"/>
        </w:rPr>
        <w:t>(2011) 10 SCC 543</w:t>
      </w:r>
    </w:p>
  </w:footnote>
  <w:footnote w:id="2">
    <w:p w14:paraId="0D86528C" w14:textId="77777777" w:rsidR="00135FA0" w:rsidRPr="00577B1C" w:rsidRDefault="00135FA0" w:rsidP="009D4B9F">
      <w:pPr>
        <w:pStyle w:val="FootnoteText"/>
        <w:rPr>
          <w:rFonts w:ascii="Bookman Old Style" w:hAnsi="Bookman Old Style"/>
          <w:lang w:val="en-IN"/>
        </w:rPr>
      </w:pPr>
      <w:r w:rsidRPr="00577B1C">
        <w:rPr>
          <w:rStyle w:val="FootnoteReference"/>
          <w:rFonts w:ascii="Bookman Old Style" w:hAnsi="Bookman Old Style"/>
        </w:rPr>
        <w:footnoteRef/>
      </w:r>
      <w:r w:rsidRPr="00577B1C">
        <w:rPr>
          <w:rFonts w:ascii="Bookman Old Style" w:hAnsi="Bookman Old Style"/>
        </w:rPr>
        <w:t xml:space="preserve"> C.A. Nos. 6328-6399/2015</w:t>
      </w:r>
      <w:r>
        <w:rPr>
          <w:rFonts w:ascii="Bookman Old Style" w:hAnsi="Bookman Old Style"/>
        </w:rPr>
        <w:t>, decision date</w:t>
      </w:r>
      <w:r w:rsidRPr="00577B1C">
        <w:rPr>
          <w:rFonts w:ascii="Bookman Old Style" w:hAnsi="Bookman Old Style"/>
        </w:rPr>
        <w:t>d 24.10.2019.</w:t>
      </w:r>
    </w:p>
  </w:footnote>
  <w:footnote w:id="3">
    <w:p w14:paraId="59C12434" w14:textId="101D04E2" w:rsidR="00135FA0" w:rsidRPr="005F0680" w:rsidRDefault="00135FA0">
      <w:pPr>
        <w:pStyle w:val="FootnoteText"/>
        <w:rPr>
          <w:lang w:val="en-IN"/>
        </w:rPr>
      </w:pPr>
      <w:r>
        <w:rPr>
          <w:rStyle w:val="FootnoteReference"/>
        </w:rPr>
        <w:footnoteRef/>
      </w:r>
      <w:r>
        <w:t xml:space="preserve"> </w:t>
      </w:r>
      <w:r w:rsidRPr="005F0680">
        <w:rPr>
          <w:rFonts w:ascii="Bookman Old Style" w:hAnsi="Bookman Old Style"/>
        </w:rPr>
        <w:t>(1987) 3 SCC 597</w:t>
      </w:r>
    </w:p>
  </w:footnote>
  <w:footnote w:id="4">
    <w:p w14:paraId="2751D6CC" w14:textId="20CCE85A" w:rsidR="00135FA0" w:rsidRPr="005F0680" w:rsidRDefault="00135FA0">
      <w:pPr>
        <w:pStyle w:val="FootnoteText"/>
        <w:rPr>
          <w:lang w:val="en-IN"/>
        </w:rPr>
      </w:pPr>
      <w:r w:rsidRPr="005F0680">
        <w:rPr>
          <w:rStyle w:val="FootnoteReference"/>
        </w:rPr>
        <w:footnoteRef/>
      </w:r>
      <w:r w:rsidRPr="005F0680">
        <w:t xml:space="preserve"> </w:t>
      </w:r>
      <w:r w:rsidRPr="005F0680">
        <w:rPr>
          <w:rFonts w:ascii="Bookman Old Style" w:hAnsi="Bookman Old Style"/>
        </w:rPr>
        <w:t>(2010) 1 SCC 297</w:t>
      </w:r>
    </w:p>
  </w:footnote>
  <w:footnote w:id="5">
    <w:p w14:paraId="15C82B8B" w14:textId="69E02ACF" w:rsidR="00135FA0" w:rsidRPr="005F0680" w:rsidRDefault="00135FA0">
      <w:pPr>
        <w:pStyle w:val="FootnoteText"/>
        <w:rPr>
          <w:lang w:val="en-IN"/>
        </w:rPr>
      </w:pPr>
      <w:r w:rsidRPr="005F0680">
        <w:rPr>
          <w:rStyle w:val="FootnoteReference"/>
        </w:rPr>
        <w:footnoteRef/>
      </w:r>
      <w:r w:rsidRPr="005F0680">
        <w:t xml:space="preserve"> </w:t>
      </w:r>
      <w:r w:rsidRPr="005F0680">
        <w:rPr>
          <w:rFonts w:ascii="Bookman Old Style" w:hAnsi="Bookman Old Style"/>
        </w:rPr>
        <w:t>1969 (2) SCC 627</w:t>
      </w:r>
    </w:p>
  </w:footnote>
  <w:footnote w:id="6">
    <w:p w14:paraId="6C6B39CD" w14:textId="6E138D4E" w:rsidR="00135FA0" w:rsidRPr="00987CEA" w:rsidRDefault="00135FA0">
      <w:pPr>
        <w:pStyle w:val="FootnoteText"/>
        <w:rPr>
          <w:lang w:val="en-IN"/>
        </w:rPr>
      </w:pPr>
      <w:r>
        <w:rPr>
          <w:rStyle w:val="FootnoteReference"/>
        </w:rPr>
        <w:footnoteRef/>
      </w:r>
      <w:r>
        <w:t xml:space="preserve"> </w:t>
      </w:r>
      <w:r w:rsidRPr="00987CEA">
        <w:rPr>
          <w:rFonts w:ascii="Bookman Old Style" w:hAnsi="Bookman Old Style" w:cs="Arial"/>
          <w:color w:val="000000"/>
        </w:rPr>
        <w:t>(2007) 13 SCC 673</w:t>
      </w:r>
    </w:p>
  </w:footnote>
  <w:footnote w:id="7">
    <w:p w14:paraId="7A23DCD6" w14:textId="2A205B08" w:rsidR="00135FA0" w:rsidRPr="00182CEC" w:rsidRDefault="00135FA0">
      <w:pPr>
        <w:pStyle w:val="FootnoteText"/>
        <w:rPr>
          <w:lang w:val="en-IN"/>
        </w:rPr>
      </w:pPr>
      <w:r>
        <w:rPr>
          <w:rStyle w:val="FootnoteReference"/>
        </w:rPr>
        <w:footnoteRef/>
      </w:r>
      <w:r>
        <w:t xml:space="preserve"> </w:t>
      </w:r>
      <w:r w:rsidRPr="00182CEC">
        <w:rPr>
          <w:rFonts w:ascii="Bookman Old Style" w:hAnsi="Bookman Old Style"/>
        </w:rPr>
        <w:t>2004 (6) SCC 30</w:t>
      </w:r>
    </w:p>
  </w:footnote>
  <w:footnote w:id="8">
    <w:p w14:paraId="4D197393" w14:textId="073664E7" w:rsidR="00135FA0" w:rsidRPr="00182CEC" w:rsidRDefault="00135FA0">
      <w:pPr>
        <w:pStyle w:val="FootnoteText"/>
        <w:rPr>
          <w:lang w:val="en-IN"/>
        </w:rPr>
      </w:pPr>
      <w:r>
        <w:rPr>
          <w:rStyle w:val="FootnoteReference"/>
        </w:rPr>
        <w:footnoteRef/>
      </w:r>
      <w:r>
        <w:t xml:space="preserve"> </w:t>
      </w:r>
      <w:r w:rsidRPr="00182CEC">
        <w:rPr>
          <w:rFonts w:ascii="Bookman Old Style" w:hAnsi="Bookman Old Style"/>
        </w:rPr>
        <w:t>(2002) 1 SCC 367</w:t>
      </w:r>
    </w:p>
  </w:footnote>
  <w:footnote w:id="9">
    <w:p w14:paraId="59D075E8" w14:textId="72FFF308" w:rsidR="00135FA0" w:rsidRPr="00EB7C61" w:rsidRDefault="00135FA0">
      <w:pPr>
        <w:pStyle w:val="FootnoteText"/>
        <w:rPr>
          <w:rFonts w:ascii="Bookman Old Style" w:hAnsi="Bookman Old Style"/>
          <w:lang w:val="en-US"/>
        </w:rPr>
      </w:pPr>
      <w:r w:rsidRPr="00EB7C61">
        <w:rPr>
          <w:rStyle w:val="FootnoteReference"/>
          <w:rFonts w:ascii="Bookman Old Style" w:hAnsi="Bookman Old Style"/>
        </w:rPr>
        <w:footnoteRef/>
      </w:r>
      <w:r w:rsidRPr="00EB7C61">
        <w:rPr>
          <w:rFonts w:ascii="Bookman Old Style" w:hAnsi="Bookman Old Style"/>
        </w:rPr>
        <w:t xml:space="preserve"> (2011) 10 SCC 543</w:t>
      </w:r>
      <w:r w:rsidRPr="00EB7C61">
        <w:rPr>
          <w:rFonts w:ascii="Bookman Old Style" w:hAnsi="Bookman Old Style"/>
        </w:rPr>
        <w:fldChar w:fldCharType="begin"/>
      </w:r>
      <w:r w:rsidRPr="00EB7C61">
        <w:rPr>
          <w:rFonts w:ascii="Bookman Old Style" w:hAnsi="Bookman Old Style"/>
        </w:rPr>
        <w:instrText xml:space="preserve"> TA \l "Union of India v Association of Unified Telecom Service Providers of India (2011) 10 SCC 543" \s "Union of India v Association of Unified Telecom Service Providers of India (2011) 10 SCC 543" \c 1 </w:instrText>
      </w:r>
      <w:r w:rsidRPr="00EB7C61">
        <w:rPr>
          <w:rFonts w:ascii="Bookman Old Style" w:hAnsi="Bookman Old Style"/>
        </w:rPr>
        <w:fldChar w:fldCharType="end"/>
      </w:r>
      <w:r w:rsidRPr="00EB7C61">
        <w:rPr>
          <w:rFonts w:ascii="Bookman Old Style" w:hAnsi="Bookman Old Style"/>
        </w:rPr>
        <w:t xml:space="preserve"> (“AUSPI”), </w:t>
      </w:r>
      <w:r>
        <w:rPr>
          <w:rFonts w:ascii="Bookman Old Style" w:hAnsi="Bookman Old Style"/>
        </w:rPr>
        <w:t>P</w:t>
      </w:r>
      <w:r w:rsidRPr="00EB7C61">
        <w:rPr>
          <w:rFonts w:ascii="Bookman Old Style" w:hAnsi="Bookman Old Style"/>
        </w:rPr>
        <w:t>aragraph 6</w:t>
      </w:r>
    </w:p>
  </w:footnote>
  <w:footnote w:id="10">
    <w:p w14:paraId="2176F93C" w14:textId="7E0CAF75" w:rsidR="00135FA0" w:rsidRPr="00F4609B" w:rsidRDefault="00135FA0">
      <w:pPr>
        <w:pStyle w:val="FootnoteText"/>
        <w:rPr>
          <w:lang w:val="en-US"/>
        </w:rPr>
      </w:pPr>
      <w:r>
        <w:rPr>
          <w:rStyle w:val="FootnoteReference"/>
        </w:rPr>
        <w:footnoteRef/>
      </w:r>
      <w:r>
        <w:t xml:space="preserve"> </w:t>
      </w:r>
      <w:r w:rsidRPr="00F4609B">
        <w:rPr>
          <w:rFonts w:ascii="Bookman Old Style" w:hAnsi="Bookman Old Style"/>
        </w:rPr>
        <w:t>Association of Unified Telecom Service Providers of India v Union of India and Connected Petitions being T.P. No. 7 of 2003</w:t>
      </w:r>
    </w:p>
  </w:footnote>
  <w:footnote w:id="11">
    <w:p w14:paraId="18388518" w14:textId="2CC7E902" w:rsidR="00135FA0" w:rsidRPr="00DD2122" w:rsidRDefault="00135FA0">
      <w:pPr>
        <w:pStyle w:val="FootnoteText"/>
        <w:rPr>
          <w:lang w:val="en-IN"/>
        </w:rPr>
      </w:pPr>
      <w:r>
        <w:rPr>
          <w:rStyle w:val="FootnoteReference"/>
        </w:rPr>
        <w:footnoteRef/>
      </w:r>
      <w:r>
        <w:t xml:space="preserve"> </w:t>
      </w:r>
      <w:proofErr w:type="gramStart"/>
      <w:r w:rsidRPr="00DD2122">
        <w:rPr>
          <w:rFonts w:ascii="Bookman Old Style" w:hAnsi="Bookman Old Style" w:cstheme="minorHAnsi"/>
          <w:lang w:val="en-US"/>
        </w:rPr>
        <w:t xml:space="preserve">Delhi Development Authority &amp; </w:t>
      </w:r>
      <w:proofErr w:type="spellStart"/>
      <w:r w:rsidRPr="00DD2122">
        <w:rPr>
          <w:rFonts w:ascii="Bookman Old Style" w:hAnsi="Bookman Old Style" w:cstheme="minorHAnsi"/>
          <w:lang w:val="en-US"/>
        </w:rPr>
        <w:t>Anr</w:t>
      </w:r>
      <w:proofErr w:type="spellEnd"/>
      <w:r w:rsidRPr="00DD2122">
        <w:rPr>
          <w:rFonts w:ascii="Bookman Old Style" w:hAnsi="Bookman Old Style" w:cstheme="minorHAnsi"/>
          <w:lang w:val="en-US"/>
        </w:rPr>
        <w:t>.</w:t>
      </w:r>
      <w:proofErr w:type="gramEnd"/>
      <w:r w:rsidRPr="00DD2122">
        <w:rPr>
          <w:rFonts w:ascii="Bookman Old Style" w:hAnsi="Bookman Old Style" w:cstheme="minorHAnsi"/>
          <w:lang w:val="en-US"/>
        </w:rPr>
        <w:t xml:space="preserve"> v Joint Action Committee, </w:t>
      </w:r>
      <w:proofErr w:type="spellStart"/>
      <w:r w:rsidRPr="00DD2122">
        <w:rPr>
          <w:rFonts w:ascii="Bookman Old Style" w:hAnsi="Bookman Old Style" w:cstheme="minorHAnsi"/>
          <w:lang w:val="en-US"/>
        </w:rPr>
        <w:t>Allottee</w:t>
      </w:r>
      <w:proofErr w:type="spellEnd"/>
      <w:r w:rsidRPr="00DD2122">
        <w:rPr>
          <w:rFonts w:ascii="Bookman Old Style" w:hAnsi="Bookman Old Style" w:cstheme="minorHAnsi"/>
          <w:lang w:val="en-US"/>
        </w:rPr>
        <w:t xml:space="preserve"> of SFS Flats &amp; </w:t>
      </w:r>
      <w:proofErr w:type="spellStart"/>
      <w:r w:rsidRPr="00DD2122">
        <w:rPr>
          <w:rFonts w:ascii="Bookman Old Style" w:hAnsi="Bookman Old Style" w:cstheme="minorHAnsi"/>
          <w:lang w:val="en-US"/>
        </w:rPr>
        <w:t>Ors</w:t>
      </w:r>
      <w:proofErr w:type="spellEnd"/>
      <w:r w:rsidRPr="00DD2122">
        <w:rPr>
          <w:rFonts w:ascii="Bookman Old Style" w:hAnsi="Bookman Old Style" w:cstheme="minorHAnsi"/>
          <w:lang w:val="en-US"/>
        </w:rPr>
        <w:t>. (2008) 2 SCC 672</w:t>
      </w:r>
    </w:p>
  </w:footnote>
  <w:footnote w:id="12">
    <w:p w14:paraId="086D4E29" w14:textId="0C4844A2" w:rsidR="00135FA0" w:rsidRPr="00034814" w:rsidRDefault="00135FA0">
      <w:pPr>
        <w:pStyle w:val="FootnoteText"/>
        <w:rPr>
          <w:rFonts w:ascii="Bookman Old Style" w:hAnsi="Bookman Old Style"/>
          <w:lang w:val="en-IN"/>
        </w:rPr>
      </w:pPr>
      <w:r w:rsidRPr="00034814">
        <w:rPr>
          <w:rStyle w:val="FootnoteReference"/>
          <w:rFonts w:ascii="Bookman Old Style" w:hAnsi="Bookman Old Style"/>
        </w:rPr>
        <w:footnoteRef/>
      </w:r>
      <w:r w:rsidRPr="00034814">
        <w:rPr>
          <w:rFonts w:ascii="Bookman Old Style" w:hAnsi="Bookman Old Style"/>
        </w:rPr>
        <w:t xml:space="preserve"> </w:t>
      </w:r>
      <w:r w:rsidRPr="00034814">
        <w:rPr>
          <w:rFonts w:ascii="Bookman Old Style" w:hAnsi="Bookman Old Style"/>
          <w:lang w:val="en-IN"/>
        </w:rPr>
        <w:t>(2007) 8 SCC 1</w:t>
      </w:r>
    </w:p>
  </w:footnote>
  <w:footnote w:id="13">
    <w:p w14:paraId="42BBDBD8" w14:textId="7F2446C3" w:rsidR="00135FA0" w:rsidRPr="007E02B4" w:rsidRDefault="00135FA0">
      <w:pPr>
        <w:pStyle w:val="FootnoteText"/>
        <w:rPr>
          <w:lang w:val="en-IN"/>
        </w:rPr>
      </w:pPr>
      <w:r w:rsidRPr="007E02B4">
        <w:rPr>
          <w:rFonts w:ascii="Bookman Old Style" w:eastAsia="Times New Roman" w:hAnsi="Bookman Old Style" w:cs="Open Sans"/>
          <w:color w:val="000000"/>
        </w:rPr>
        <w:footnoteRef/>
      </w:r>
      <w:r w:rsidRPr="007E02B4">
        <w:rPr>
          <w:rFonts w:ascii="Bookman Old Style" w:eastAsia="Times New Roman" w:hAnsi="Bookman Old Style" w:cs="Open Sans"/>
          <w:color w:val="000000"/>
        </w:rPr>
        <w:t xml:space="preserve"> (2004) 8 SCC 229</w:t>
      </w:r>
    </w:p>
  </w:footnote>
  <w:footnote w:id="14">
    <w:p w14:paraId="679FA659" w14:textId="77777777" w:rsidR="00135FA0" w:rsidRDefault="00135FA0" w:rsidP="007E02B4">
      <w:pPr>
        <w:pStyle w:val="FootnoteText"/>
      </w:pPr>
      <w:r>
        <w:rPr>
          <w:rStyle w:val="FootnoteReference"/>
        </w:rPr>
        <w:footnoteRef/>
      </w:r>
      <w:r>
        <w:t xml:space="preserve"> </w:t>
      </w:r>
      <w:r w:rsidRPr="003C7343">
        <w:rPr>
          <w:rFonts w:ascii="Bookman Old Style" w:eastAsia="Times New Roman" w:hAnsi="Bookman Old Style" w:cs="Open Sans"/>
          <w:color w:val="000000"/>
        </w:rPr>
        <w:t>(2017) 1 SCC 487</w:t>
      </w:r>
    </w:p>
  </w:footnote>
  <w:footnote w:id="15">
    <w:p w14:paraId="5B9BFA9B" w14:textId="5B229770" w:rsidR="00135FA0" w:rsidRPr="00CB3BAF" w:rsidRDefault="00135FA0">
      <w:pPr>
        <w:pStyle w:val="FootnoteText"/>
        <w:rPr>
          <w:rFonts w:ascii="Bookman Old Style" w:hAnsi="Bookman Old Style"/>
          <w:lang w:val="en-IN"/>
        </w:rPr>
      </w:pPr>
      <w:r w:rsidRPr="00CB3BAF">
        <w:rPr>
          <w:rStyle w:val="FootnoteReference"/>
          <w:rFonts w:ascii="Bookman Old Style" w:hAnsi="Bookman Old Style"/>
        </w:rPr>
        <w:footnoteRef/>
      </w:r>
      <w:r w:rsidRPr="00CB3BAF">
        <w:rPr>
          <w:rFonts w:ascii="Bookman Old Style" w:hAnsi="Bookman Old Style"/>
        </w:rPr>
        <w:t xml:space="preserve"> </w:t>
      </w:r>
      <w:r w:rsidRPr="00CB3BAF">
        <w:rPr>
          <w:rFonts w:ascii="Bookman Old Style" w:hAnsi="Bookman Old Style"/>
          <w:lang w:val="en-IN"/>
        </w:rPr>
        <w:t>(1990) 4 SCC 668</w:t>
      </w:r>
    </w:p>
  </w:footnote>
  <w:footnote w:id="16">
    <w:p w14:paraId="2D4A4544" w14:textId="1DB46CA9" w:rsidR="00135FA0" w:rsidRPr="00CB3BAF" w:rsidRDefault="00135FA0">
      <w:pPr>
        <w:pStyle w:val="FootnoteText"/>
        <w:rPr>
          <w:lang w:val="en-IN"/>
        </w:rPr>
      </w:pPr>
      <w:r>
        <w:rPr>
          <w:rStyle w:val="FootnoteReference"/>
        </w:rPr>
        <w:footnoteRef/>
      </w:r>
      <w:r>
        <w:t xml:space="preserve"> </w:t>
      </w:r>
      <w:r w:rsidRPr="00CB3BAF">
        <w:rPr>
          <w:rFonts w:ascii="Bookman Old Style" w:hAnsi="Bookman Old Style"/>
          <w:lang w:val="en-IN"/>
        </w:rPr>
        <w:t>(2012) 13 SCC 61</w:t>
      </w:r>
    </w:p>
  </w:footnote>
  <w:footnote w:id="17">
    <w:p w14:paraId="714800EB" w14:textId="471294A1" w:rsidR="00135FA0" w:rsidRPr="00762C44" w:rsidRDefault="00135FA0">
      <w:pPr>
        <w:pStyle w:val="FootnoteText"/>
        <w:rPr>
          <w:rFonts w:ascii="Bookman Old Style" w:hAnsi="Bookman Old Style"/>
          <w:lang w:val="en-IN"/>
        </w:rPr>
      </w:pPr>
      <w:r w:rsidRPr="00762C44">
        <w:rPr>
          <w:rStyle w:val="FootnoteReference"/>
          <w:rFonts w:ascii="Bookman Old Style" w:hAnsi="Bookman Old Style"/>
        </w:rPr>
        <w:footnoteRef/>
      </w:r>
      <w:r w:rsidRPr="00762C44">
        <w:rPr>
          <w:rFonts w:ascii="Bookman Old Style" w:hAnsi="Bookman Old Style"/>
        </w:rPr>
        <w:t xml:space="preserve"> </w:t>
      </w:r>
      <w:r w:rsidRPr="00762C44">
        <w:rPr>
          <w:rFonts w:ascii="Bookman Old Style" w:hAnsi="Bookman Old Style"/>
          <w:lang w:val="en-IN"/>
        </w:rPr>
        <w:t>(1995) 2 SCC 161</w:t>
      </w:r>
      <w:r w:rsidRPr="00762C44">
        <w:rPr>
          <w:rFonts w:ascii="Bookman Old Style" w:hAnsi="Bookman Old Style"/>
          <w:lang w:val="en-IN"/>
        </w:rPr>
        <w:fldChar w:fldCharType="begin"/>
      </w:r>
      <w:r w:rsidRPr="00762C44">
        <w:rPr>
          <w:rFonts w:ascii="Bookman Old Style" w:hAnsi="Bookman Old Style"/>
          <w:lang w:val="en-IN"/>
        </w:rPr>
        <w:instrText xml:space="preserve"> TA \l "Secretary, Ministry of Information &amp; Broadcasting, Govt. of India v Cricket Association of Bengal, (1995) 2 SCC 161" \s "Secretary, Ministry of Information &amp; Broadcasting, Govt. of India v Cricket Association of Bengal, (1995) 2 SCC 161" \c 1 </w:instrText>
      </w:r>
      <w:r w:rsidRPr="00762C44">
        <w:rPr>
          <w:rFonts w:ascii="Bookman Old Style" w:hAnsi="Bookman Old Style"/>
          <w:lang w:val="en-IN"/>
        </w:rPr>
        <w:fldChar w:fldCharType="end"/>
      </w:r>
    </w:p>
  </w:footnote>
  <w:footnote w:id="18">
    <w:p w14:paraId="726C87BB" w14:textId="5336DA73" w:rsidR="00135FA0" w:rsidRPr="00685740" w:rsidRDefault="00135FA0">
      <w:pPr>
        <w:pStyle w:val="FootnoteText"/>
        <w:rPr>
          <w:rFonts w:ascii="Bookman Old Style" w:hAnsi="Bookman Old Style"/>
          <w:lang w:val="en-IN"/>
        </w:rPr>
      </w:pPr>
      <w:r w:rsidRPr="00685740">
        <w:rPr>
          <w:rStyle w:val="FootnoteReference"/>
          <w:rFonts w:ascii="Bookman Old Style" w:hAnsi="Bookman Old Style"/>
        </w:rPr>
        <w:footnoteRef/>
      </w:r>
      <w:r w:rsidRPr="00685740">
        <w:rPr>
          <w:rFonts w:ascii="Bookman Old Style" w:hAnsi="Bookman Old Style"/>
        </w:rPr>
        <w:t xml:space="preserve"> </w:t>
      </w:r>
      <w:r w:rsidRPr="00685740">
        <w:rPr>
          <w:rFonts w:ascii="Bookman Old Style" w:hAnsi="Bookman Old Style"/>
          <w:lang w:val="en-IN"/>
        </w:rPr>
        <w:t>(2010) 7 SCC 1</w:t>
      </w:r>
    </w:p>
  </w:footnote>
  <w:footnote w:id="19">
    <w:p w14:paraId="5DE4FC7D" w14:textId="2A883283" w:rsidR="00135FA0" w:rsidRPr="00A64A5F" w:rsidRDefault="00135FA0">
      <w:pPr>
        <w:pStyle w:val="FootnoteText"/>
        <w:rPr>
          <w:lang w:val="en-IN"/>
        </w:rPr>
      </w:pPr>
      <w:r>
        <w:rPr>
          <w:rStyle w:val="FootnoteReference"/>
        </w:rPr>
        <w:footnoteRef/>
      </w:r>
      <w:r>
        <w:t xml:space="preserve"> </w:t>
      </w:r>
      <w:r w:rsidRPr="00A64A5F">
        <w:rPr>
          <w:rFonts w:ascii="Bookman Old Style" w:hAnsi="Bookman Old Style"/>
          <w:lang w:val="en-IN"/>
        </w:rPr>
        <w:t>(2012) 3 SCC 1</w:t>
      </w:r>
      <w:r w:rsidRPr="00A64A5F">
        <w:rPr>
          <w:rFonts w:ascii="Bookman Old Style" w:hAnsi="Bookman Old Style"/>
          <w:sz w:val="28"/>
          <w:szCs w:val="28"/>
          <w:lang w:val="en-IN"/>
        </w:rPr>
        <w:fldChar w:fldCharType="begin"/>
      </w:r>
      <w:r w:rsidRPr="00A64A5F">
        <w:rPr>
          <w:rFonts w:ascii="Bookman Old Style" w:hAnsi="Bookman Old Style"/>
          <w:sz w:val="28"/>
          <w:szCs w:val="28"/>
          <w:lang w:val="en-IN"/>
        </w:rPr>
        <w:instrText xml:space="preserve"> TA \l "Centre for Public Interest Litigation v Union of India, (2012) 3 SCC 1" \s "Centre for Public Interest Litigation v Union of India, (2012) 3 SCC 1" \c 1 </w:instrText>
      </w:r>
      <w:r w:rsidRPr="00A64A5F">
        <w:rPr>
          <w:rFonts w:ascii="Bookman Old Style" w:hAnsi="Bookman Old Style"/>
          <w:sz w:val="28"/>
          <w:szCs w:val="28"/>
          <w:lang w:val="en-IN"/>
        </w:rPr>
        <w:fldChar w:fldCharType="end"/>
      </w:r>
    </w:p>
  </w:footnote>
  <w:footnote w:id="20">
    <w:p w14:paraId="48901300" w14:textId="77777777" w:rsidR="00135FA0" w:rsidRPr="006A1A4F" w:rsidRDefault="00135FA0" w:rsidP="00903050">
      <w:pPr>
        <w:pStyle w:val="FootnoteText"/>
        <w:rPr>
          <w:rFonts w:ascii="Bookman Old Style" w:hAnsi="Bookman Old Style"/>
        </w:rPr>
      </w:pPr>
      <w:r w:rsidRPr="006A1A4F">
        <w:rPr>
          <w:rStyle w:val="FootnoteReference"/>
          <w:rFonts w:ascii="Bookman Old Style" w:hAnsi="Bookman Old Style"/>
        </w:rPr>
        <w:footnoteRef/>
      </w:r>
      <w:r w:rsidRPr="006A1A4F">
        <w:rPr>
          <w:rFonts w:ascii="Bookman Old Style" w:hAnsi="Bookman Old Style"/>
        </w:rPr>
        <w:t xml:space="preserve"> </w:t>
      </w:r>
      <w:r w:rsidRPr="006A1A4F">
        <w:rPr>
          <w:rFonts w:ascii="Bookman Old Style" w:eastAsia="Times New Roman" w:hAnsi="Bookman Old Style" w:cs="Times New Roman"/>
          <w:color w:val="000000"/>
          <w:shd w:val="clear" w:color="auto" w:fill="FFFFFF"/>
        </w:rPr>
        <w:t>(2001) 1 SCC 582 </w:t>
      </w:r>
    </w:p>
  </w:footnote>
  <w:footnote w:id="21">
    <w:p w14:paraId="5A35B513" w14:textId="5F16BBE2" w:rsidR="00135FA0" w:rsidRDefault="00135FA0" w:rsidP="00903050">
      <w:pPr>
        <w:pStyle w:val="FootnoteText"/>
      </w:pPr>
      <w:r>
        <w:rPr>
          <w:rStyle w:val="FootnoteReference"/>
        </w:rPr>
        <w:footnoteRef/>
      </w:r>
      <w:r>
        <w:t xml:space="preserve"> </w:t>
      </w:r>
      <w:r w:rsidRPr="001933AE">
        <w:rPr>
          <w:rFonts w:ascii="Bookman Old Style" w:hAnsi="Bookman Old Style"/>
        </w:rPr>
        <w:t xml:space="preserve">Union of India v. Ashok Kumar </w:t>
      </w:r>
      <w:proofErr w:type="spellStart"/>
      <w:r w:rsidRPr="001933AE">
        <w:rPr>
          <w:rFonts w:ascii="Bookman Old Style" w:hAnsi="Bookman Old Style"/>
        </w:rPr>
        <w:t>Aggarwal</w:t>
      </w:r>
      <w:proofErr w:type="spellEnd"/>
      <w:r w:rsidRPr="00421923">
        <w:rPr>
          <w:rFonts w:ascii="Bookman Old Style" w:hAnsi="Bookman Old Style"/>
        </w:rPr>
        <w:t xml:space="preserve"> (2013) 16 SCC 147</w:t>
      </w:r>
    </w:p>
  </w:footnote>
  <w:footnote w:id="22">
    <w:p w14:paraId="4094A9F8" w14:textId="2E7F121D" w:rsidR="00135FA0" w:rsidRPr="001933AE" w:rsidRDefault="00135FA0">
      <w:pPr>
        <w:pStyle w:val="FootnoteText"/>
        <w:rPr>
          <w:lang w:val="en-IN"/>
        </w:rPr>
      </w:pPr>
      <w:r>
        <w:rPr>
          <w:rStyle w:val="FootnoteReference"/>
        </w:rPr>
        <w:footnoteRef/>
      </w:r>
      <w:r>
        <w:t xml:space="preserve"> </w:t>
      </w:r>
      <w:r w:rsidRPr="00421923">
        <w:rPr>
          <w:rFonts w:ascii="Bookman Old Style" w:hAnsi="Bookman Old Style"/>
        </w:rPr>
        <w:t>(2010) 9 SCC 437</w:t>
      </w:r>
    </w:p>
  </w:footnote>
  <w:footnote w:id="23">
    <w:p w14:paraId="4BA1BFD9" w14:textId="77777777" w:rsidR="00135FA0" w:rsidRPr="00FC0F77" w:rsidRDefault="00135FA0" w:rsidP="00903050">
      <w:pPr>
        <w:pStyle w:val="FootnoteText"/>
        <w:rPr>
          <w:rFonts w:ascii="Bookman Old Style" w:hAnsi="Bookman Old Style" w:cs="Times New Roman"/>
        </w:rPr>
      </w:pPr>
      <w:r>
        <w:rPr>
          <w:rStyle w:val="FootnoteReference"/>
        </w:rPr>
        <w:footnoteRef/>
      </w:r>
      <w:r>
        <w:t xml:space="preserve"> (</w:t>
      </w:r>
      <w:r>
        <w:rPr>
          <w:rFonts w:ascii="Bookman Old Style" w:hAnsi="Bookman Old Style" w:cs="Times New Roman"/>
        </w:rPr>
        <w:t>1961) 1 SCR 728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667488"/>
      <w:docPartObj>
        <w:docPartGallery w:val="Page Numbers (Top of Page)"/>
        <w:docPartUnique/>
      </w:docPartObj>
    </w:sdtPr>
    <w:sdtEndPr>
      <w:rPr>
        <w:noProof/>
      </w:rPr>
    </w:sdtEndPr>
    <w:sdtContent>
      <w:p w14:paraId="751974A9" w14:textId="77777777" w:rsidR="00135FA0" w:rsidRDefault="00135FA0">
        <w:pPr>
          <w:pStyle w:val="Header"/>
          <w:jc w:val="right"/>
        </w:pPr>
        <w:r>
          <w:fldChar w:fldCharType="begin"/>
        </w:r>
        <w:r>
          <w:instrText xml:space="preserve"> PAGE   \* MERGEFORMAT </w:instrText>
        </w:r>
        <w:r>
          <w:fldChar w:fldCharType="separate"/>
        </w:r>
        <w:r w:rsidR="00FB49F5">
          <w:rPr>
            <w:noProof/>
          </w:rPr>
          <w:t>1</w:t>
        </w:r>
        <w:r>
          <w:rPr>
            <w:noProof/>
          </w:rPr>
          <w:fldChar w:fldCharType="end"/>
        </w:r>
      </w:p>
    </w:sdtContent>
  </w:sdt>
  <w:p w14:paraId="6C9D7340" w14:textId="77777777" w:rsidR="00135FA0" w:rsidRDefault="00135F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AC8"/>
    <w:multiLevelType w:val="hybridMultilevel"/>
    <w:tmpl w:val="7868CF3C"/>
    <w:lvl w:ilvl="0" w:tplc="BCEE7B42">
      <w:start w:val="1"/>
      <w:numFmt w:val="lowerRoman"/>
      <w:pStyle w:val="Heading3"/>
      <w:lvlText w:val="(%1)"/>
      <w:lvlJc w:val="left"/>
      <w:pPr>
        <w:ind w:left="2138" w:hanging="72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
    <w:nsid w:val="04991AD2"/>
    <w:multiLevelType w:val="hybridMultilevel"/>
    <w:tmpl w:val="617EB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74651"/>
    <w:multiLevelType w:val="hybridMultilevel"/>
    <w:tmpl w:val="BCC8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C742F"/>
    <w:multiLevelType w:val="hybridMultilevel"/>
    <w:tmpl w:val="07AA88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41B4E"/>
    <w:multiLevelType w:val="hybridMultilevel"/>
    <w:tmpl w:val="5A469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8D713C"/>
    <w:multiLevelType w:val="hybridMultilevel"/>
    <w:tmpl w:val="E98A0552"/>
    <w:lvl w:ilvl="0" w:tplc="40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997845"/>
    <w:multiLevelType w:val="hybridMultilevel"/>
    <w:tmpl w:val="605E705A"/>
    <w:lvl w:ilvl="0" w:tplc="AA1EF436">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6834BD5"/>
    <w:multiLevelType w:val="hybridMultilevel"/>
    <w:tmpl w:val="EB526440"/>
    <w:lvl w:ilvl="0" w:tplc="828EFF84">
      <w:start w:val="1"/>
      <w:numFmt w:val="upperRoman"/>
      <w:pStyle w:val="Heading2"/>
      <w:lvlText w:val="%1."/>
      <w:lvlJc w:val="righ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58CA7BEB"/>
    <w:multiLevelType w:val="hybridMultilevel"/>
    <w:tmpl w:val="897E3034"/>
    <w:lvl w:ilvl="0" w:tplc="9CE0AFAA">
      <w:start w:val="1"/>
      <w:numFmt w:val="upperLetter"/>
      <w:pStyle w:val="Heading1"/>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755B7316"/>
    <w:multiLevelType w:val="hybridMultilevel"/>
    <w:tmpl w:val="BC96474E"/>
    <w:lvl w:ilvl="0" w:tplc="40090013">
      <w:start w:val="1"/>
      <w:numFmt w:val="upp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0">
    <w:nsid w:val="75BE3DB2"/>
    <w:multiLevelType w:val="hybridMultilevel"/>
    <w:tmpl w:val="2BDAB4EC"/>
    <w:lvl w:ilvl="0" w:tplc="2542CA30">
      <w:start w:val="1"/>
      <w:numFmt w:val="decimal"/>
      <w:lvlText w:val="%1."/>
      <w:lvlJc w:val="left"/>
      <w:pPr>
        <w:ind w:left="644" w:hanging="360"/>
      </w:pPr>
      <w:rPr>
        <w:rFonts w:hint="default"/>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nsid w:val="7DCB1CA5"/>
    <w:multiLevelType w:val="hybridMultilevel"/>
    <w:tmpl w:val="56488FEC"/>
    <w:lvl w:ilvl="0" w:tplc="40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9"/>
  </w:num>
  <w:num w:numId="4">
    <w:abstractNumId w:val="1"/>
  </w:num>
  <w:num w:numId="5">
    <w:abstractNumId w:val="4"/>
  </w:num>
  <w:num w:numId="6">
    <w:abstractNumId w:val="10"/>
  </w:num>
  <w:num w:numId="7">
    <w:abstractNumId w:val="7"/>
  </w:num>
  <w:num w:numId="8">
    <w:abstractNumId w:val="0"/>
  </w:num>
  <w:num w:numId="9">
    <w:abstractNumId w:val="8"/>
  </w:num>
  <w:num w:numId="10">
    <w:abstractNumId w:val="3"/>
  </w:num>
  <w:num w:numId="11">
    <w:abstractNumId w:val="0"/>
    <w:lvlOverride w:ilvl="0">
      <w:startOverride w:val="1"/>
    </w:lvlOverride>
  </w:num>
  <w:num w:numId="12">
    <w:abstractNumId w:val="7"/>
    <w:lvlOverride w:ilvl="0">
      <w:startOverride w:val="1"/>
    </w:lvlOverride>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D3"/>
    <w:rsid w:val="00013A79"/>
    <w:rsid w:val="00013CA7"/>
    <w:rsid w:val="00023E0D"/>
    <w:rsid w:val="00034814"/>
    <w:rsid w:val="00053F6B"/>
    <w:rsid w:val="00091AFC"/>
    <w:rsid w:val="00096A03"/>
    <w:rsid w:val="000A15B5"/>
    <w:rsid w:val="000B54DC"/>
    <w:rsid w:val="000C1FF5"/>
    <w:rsid w:val="000C32D4"/>
    <w:rsid w:val="000C56D4"/>
    <w:rsid w:val="000C64EB"/>
    <w:rsid w:val="000F188A"/>
    <w:rsid w:val="00105503"/>
    <w:rsid w:val="00131211"/>
    <w:rsid w:val="00131BC7"/>
    <w:rsid w:val="00135FA0"/>
    <w:rsid w:val="00151375"/>
    <w:rsid w:val="00182353"/>
    <w:rsid w:val="00182CEC"/>
    <w:rsid w:val="001933AE"/>
    <w:rsid w:val="00195635"/>
    <w:rsid w:val="001B5BEC"/>
    <w:rsid w:val="001D14AC"/>
    <w:rsid w:val="00217945"/>
    <w:rsid w:val="00220CD5"/>
    <w:rsid w:val="002237D0"/>
    <w:rsid w:val="002454F1"/>
    <w:rsid w:val="00247835"/>
    <w:rsid w:val="00277872"/>
    <w:rsid w:val="00282B44"/>
    <w:rsid w:val="00286FC2"/>
    <w:rsid w:val="002A0CC4"/>
    <w:rsid w:val="002A70F7"/>
    <w:rsid w:val="002B2F34"/>
    <w:rsid w:val="002D6DBB"/>
    <w:rsid w:val="002F2DE5"/>
    <w:rsid w:val="00310844"/>
    <w:rsid w:val="0033330C"/>
    <w:rsid w:val="003454F5"/>
    <w:rsid w:val="003503AD"/>
    <w:rsid w:val="00357A41"/>
    <w:rsid w:val="003640F8"/>
    <w:rsid w:val="003724FD"/>
    <w:rsid w:val="00372B65"/>
    <w:rsid w:val="00385C18"/>
    <w:rsid w:val="00391F7D"/>
    <w:rsid w:val="003A5351"/>
    <w:rsid w:val="003C7443"/>
    <w:rsid w:val="003D0803"/>
    <w:rsid w:val="003E5CE5"/>
    <w:rsid w:val="00403E43"/>
    <w:rsid w:val="0041684F"/>
    <w:rsid w:val="00426071"/>
    <w:rsid w:val="00431549"/>
    <w:rsid w:val="00443B5A"/>
    <w:rsid w:val="004951D6"/>
    <w:rsid w:val="004A6759"/>
    <w:rsid w:val="004B155A"/>
    <w:rsid w:val="004B6F18"/>
    <w:rsid w:val="004C54F3"/>
    <w:rsid w:val="005065A7"/>
    <w:rsid w:val="00510F7B"/>
    <w:rsid w:val="00511F16"/>
    <w:rsid w:val="00517695"/>
    <w:rsid w:val="00523749"/>
    <w:rsid w:val="005309D9"/>
    <w:rsid w:val="00532104"/>
    <w:rsid w:val="005402F4"/>
    <w:rsid w:val="00542240"/>
    <w:rsid w:val="00570A96"/>
    <w:rsid w:val="005979E4"/>
    <w:rsid w:val="00597DB9"/>
    <w:rsid w:val="005D5678"/>
    <w:rsid w:val="005F0680"/>
    <w:rsid w:val="00633AF4"/>
    <w:rsid w:val="00637FA7"/>
    <w:rsid w:val="00660954"/>
    <w:rsid w:val="00671D34"/>
    <w:rsid w:val="006808BD"/>
    <w:rsid w:val="00685740"/>
    <w:rsid w:val="00690E46"/>
    <w:rsid w:val="00693BDD"/>
    <w:rsid w:val="006B4E84"/>
    <w:rsid w:val="006E5B2E"/>
    <w:rsid w:val="0070792A"/>
    <w:rsid w:val="00713E6B"/>
    <w:rsid w:val="00721B01"/>
    <w:rsid w:val="007259E7"/>
    <w:rsid w:val="00726B91"/>
    <w:rsid w:val="00731AB4"/>
    <w:rsid w:val="00744EED"/>
    <w:rsid w:val="00755A7E"/>
    <w:rsid w:val="00762C44"/>
    <w:rsid w:val="0076519B"/>
    <w:rsid w:val="00766CF8"/>
    <w:rsid w:val="00796239"/>
    <w:rsid w:val="007A5340"/>
    <w:rsid w:val="007C7391"/>
    <w:rsid w:val="007D6F33"/>
    <w:rsid w:val="007D769F"/>
    <w:rsid w:val="007E02B4"/>
    <w:rsid w:val="00823058"/>
    <w:rsid w:val="00825AE9"/>
    <w:rsid w:val="0083213B"/>
    <w:rsid w:val="00851D64"/>
    <w:rsid w:val="00860C34"/>
    <w:rsid w:val="00867748"/>
    <w:rsid w:val="00892C51"/>
    <w:rsid w:val="008B27E3"/>
    <w:rsid w:val="008D1622"/>
    <w:rsid w:val="008E439F"/>
    <w:rsid w:val="00903050"/>
    <w:rsid w:val="00907587"/>
    <w:rsid w:val="00916AB4"/>
    <w:rsid w:val="009226DC"/>
    <w:rsid w:val="0094549F"/>
    <w:rsid w:val="009645E5"/>
    <w:rsid w:val="00971B03"/>
    <w:rsid w:val="0097215D"/>
    <w:rsid w:val="00987CEA"/>
    <w:rsid w:val="009B51B8"/>
    <w:rsid w:val="009C092A"/>
    <w:rsid w:val="009C2EF5"/>
    <w:rsid w:val="009C3E0F"/>
    <w:rsid w:val="009D4B9F"/>
    <w:rsid w:val="009F32BB"/>
    <w:rsid w:val="00A14029"/>
    <w:rsid w:val="00A2582A"/>
    <w:rsid w:val="00A3356A"/>
    <w:rsid w:val="00A64A5F"/>
    <w:rsid w:val="00A77149"/>
    <w:rsid w:val="00A8346F"/>
    <w:rsid w:val="00A95518"/>
    <w:rsid w:val="00A978E4"/>
    <w:rsid w:val="00AA3AB7"/>
    <w:rsid w:val="00AB3882"/>
    <w:rsid w:val="00AC5D20"/>
    <w:rsid w:val="00AE27B4"/>
    <w:rsid w:val="00B00A2C"/>
    <w:rsid w:val="00B20653"/>
    <w:rsid w:val="00B34EC9"/>
    <w:rsid w:val="00B42876"/>
    <w:rsid w:val="00B45DC7"/>
    <w:rsid w:val="00B521F5"/>
    <w:rsid w:val="00B5269D"/>
    <w:rsid w:val="00B71FEC"/>
    <w:rsid w:val="00B81D2B"/>
    <w:rsid w:val="00B94FC6"/>
    <w:rsid w:val="00BA24B4"/>
    <w:rsid w:val="00BC6B1C"/>
    <w:rsid w:val="00BD78AC"/>
    <w:rsid w:val="00BE1E92"/>
    <w:rsid w:val="00BE1F16"/>
    <w:rsid w:val="00C315AE"/>
    <w:rsid w:val="00C32F57"/>
    <w:rsid w:val="00C34245"/>
    <w:rsid w:val="00C77AA9"/>
    <w:rsid w:val="00C8067B"/>
    <w:rsid w:val="00CB3750"/>
    <w:rsid w:val="00CB3BAF"/>
    <w:rsid w:val="00CE0369"/>
    <w:rsid w:val="00CE0E58"/>
    <w:rsid w:val="00D015C4"/>
    <w:rsid w:val="00D507A5"/>
    <w:rsid w:val="00D57CC5"/>
    <w:rsid w:val="00D63EB7"/>
    <w:rsid w:val="00D742C8"/>
    <w:rsid w:val="00D75AD9"/>
    <w:rsid w:val="00D831CB"/>
    <w:rsid w:val="00D86DDE"/>
    <w:rsid w:val="00D95BBB"/>
    <w:rsid w:val="00DB5602"/>
    <w:rsid w:val="00DB7446"/>
    <w:rsid w:val="00DC2381"/>
    <w:rsid w:val="00DD2122"/>
    <w:rsid w:val="00DD274D"/>
    <w:rsid w:val="00DD3199"/>
    <w:rsid w:val="00E10F47"/>
    <w:rsid w:val="00E1320C"/>
    <w:rsid w:val="00E136CB"/>
    <w:rsid w:val="00E375B9"/>
    <w:rsid w:val="00E529A9"/>
    <w:rsid w:val="00E52EC3"/>
    <w:rsid w:val="00E70A8E"/>
    <w:rsid w:val="00E74F70"/>
    <w:rsid w:val="00EB7C61"/>
    <w:rsid w:val="00EC5050"/>
    <w:rsid w:val="00ED4223"/>
    <w:rsid w:val="00ED601D"/>
    <w:rsid w:val="00EE5AD3"/>
    <w:rsid w:val="00EE73F6"/>
    <w:rsid w:val="00F12896"/>
    <w:rsid w:val="00F16858"/>
    <w:rsid w:val="00F20F46"/>
    <w:rsid w:val="00F23E13"/>
    <w:rsid w:val="00F303E5"/>
    <w:rsid w:val="00F4609B"/>
    <w:rsid w:val="00F9328E"/>
    <w:rsid w:val="00FA30A6"/>
    <w:rsid w:val="00FB49F5"/>
    <w:rsid w:val="00FC24CE"/>
    <w:rsid w:val="00FC63F4"/>
    <w:rsid w:val="00FC65F9"/>
    <w:rsid w:val="00FD6F08"/>
    <w:rsid w:val="00FE2388"/>
    <w:rsid w:val="00FF472E"/>
    <w:rsid w:val="00FF57C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53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9F"/>
    <w:rPr>
      <w:lang w:val="en-GB"/>
    </w:rPr>
  </w:style>
  <w:style w:type="paragraph" w:styleId="Heading1">
    <w:name w:val="heading 1"/>
    <w:basedOn w:val="ListParagraph"/>
    <w:next w:val="Normal"/>
    <w:link w:val="Heading1Char"/>
    <w:uiPriority w:val="9"/>
    <w:qFormat/>
    <w:rsid w:val="00D63EB7"/>
    <w:pPr>
      <w:numPr>
        <w:numId w:val="9"/>
      </w:numPr>
      <w:spacing w:after="200" w:line="360" w:lineRule="auto"/>
      <w:ind w:left="360" w:hanging="360"/>
      <w:contextualSpacing w:val="0"/>
      <w:jc w:val="both"/>
      <w:outlineLvl w:val="0"/>
    </w:pPr>
    <w:rPr>
      <w:b/>
      <w:bCs/>
      <w:i/>
      <w:iCs/>
      <w:smallCaps/>
      <w:sz w:val="24"/>
      <w:szCs w:val="24"/>
    </w:rPr>
  </w:style>
  <w:style w:type="paragraph" w:styleId="Heading2">
    <w:name w:val="heading 2"/>
    <w:basedOn w:val="ListParagraph"/>
    <w:next w:val="Normal"/>
    <w:link w:val="Heading2Char"/>
    <w:uiPriority w:val="9"/>
    <w:unhideWhenUsed/>
    <w:qFormat/>
    <w:rsid w:val="00D63EB7"/>
    <w:pPr>
      <w:numPr>
        <w:numId w:val="7"/>
      </w:numPr>
      <w:spacing w:after="200" w:line="360" w:lineRule="auto"/>
      <w:contextualSpacing w:val="0"/>
      <w:jc w:val="both"/>
      <w:outlineLvl w:val="1"/>
    </w:pPr>
    <w:rPr>
      <w:smallCaps/>
      <w:sz w:val="24"/>
      <w:szCs w:val="24"/>
      <w:u w:val="single"/>
    </w:rPr>
  </w:style>
  <w:style w:type="paragraph" w:styleId="Heading3">
    <w:name w:val="heading 3"/>
    <w:basedOn w:val="Normal"/>
    <w:next w:val="Normal"/>
    <w:link w:val="Heading3Char"/>
    <w:uiPriority w:val="9"/>
    <w:unhideWhenUsed/>
    <w:qFormat/>
    <w:rsid w:val="00D63EB7"/>
    <w:pPr>
      <w:numPr>
        <w:numId w:val="8"/>
      </w:numPr>
      <w:spacing w:after="200" w:line="360" w:lineRule="auto"/>
      <w:jc w:val="both"/>
      <w:outlineLvl w:val="2"/>
    </w:pPr>
    <w:rPr>
      <w:b/>
      <w:bCs/>
      <w:i/>
      <w:i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9F"/>
    <w:pPr>
      <w:ind w:left="720"/>
      <w:contextualSpacing/>
    </w:pPr>
  </w:style>
  <w:style w:type="paragraph" w:styleId="Header">
    <w:name w:val="header"/>
    <w:basedOn w:val="Normal"/>
    <w:link w:val="HeaderChar"/>
    <w:uiPriority w:val="99"/>
    <w:unhideWhenUsed/>
    <w:rsid w:val="009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B9F"/>
    <w:rPr>
      <w:lang w:val="en-GB"/>
    </w:rPr>
  </w:style>
  <w:style w:type="paragraph" w:styleId="FootnoteText">
    <w:name w:val="footnote text"/>
    <w:basedOn w:val="Normal"/>
    <w:link w:val="FootnoteTextChar"/>
    <w:uiPriority w:val="99"/>
    <w:semiHidden/>
    <w:unhideWhenUsed/>
    <w:rsid w:val="009D4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B9F"/>
    <w:rPr>
      <w:sz w:val="20"/>
      <w:szCs w:val="20"/>
      <w:lang w:val="en-GB"/>
    </w:rPr>
  </w:style>
  <w:style w:type="character" w:styleId="FootnoteReference">
    <w:name w:val="footnote reference"/>
    <w:basedOn w:val="DefaultParagraphFont"/>
    <w:uiPriority w:val="99"/>
    <w:semiHidden/>
    <w:unhideWhenUsed/>
    <w:rsid w:val="009D4B9F"/>
    <w:rPr>
      <w:vertAlign w:val="superscript"/>
    </w:rPr>
  </w:style>
  <w:style w:type="character" w:customStyle="1" w:styleId="Heading1Char">
    <w:name w:val="Heading 1 Char"/>
    <w:basedOn w:val="DefaultParagraphFont"/>
    <w:link w:val="Heading1"/>
    <w:uiPriority w:val="9"/>
    <w:rsid w:val="00D63EB7"/>
    <w:rPr>
      <w:b/>
      <w:bCs/>
      <w:i/>
      <w:iCs/>
      <w:smallCaps/>
      <w:sz w:val="24"/>
      <w:szCs w:val="24"/>
      <w:lang w:val="en-GB"/>
    </w:rPr>
  </w:style>
  <w:style w:type="character" w:customStyle="1" w:styleId="Heading2Char">
    <w:name w:val="Heading 2 Char"/>
    <w:basedOn w:val="DefaultParagraphFont"/>
    <w:link w:val="Heading2"/>
    <w:uiPriority w:val="9"/>
    <w:rsid w:val="00D63EB7"/>
    <w:rPr>
      <w:smallCaps/>
      <w:sz w:val="24"/>
      <w:szCs w:val="24"/>
      <w:u w:val="single"/>
      <w:lang w:val="en-GB"/>
    </w:rPr>
  </w:style>
  <w:style w:type="character" w:customStyle="1" w:styleId="Heading3Char">
    <w:name w:val="Heading 3 Char"/>
    <w:basedOn w:val="DefaultParagraphFont"/>
    <w:link w:val="Heading3"/>
    <w:uiPriority w:val="9"/>
    <w:rsid w:val="00D63EB7"/>
    <w:rPr>
      <w:b/>
      <w:bCs/>
      <w:i/>
      <w:iCs/>
      <w:sz w:val="24"/>
      <w:szCs w:val="24"/>
      <w:lang w:val="en-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9F"/>
    <w:rPr>
      <w:lang w:val="en-GB"/>
    </w:rPr>
  </w:style>
  <w:style w:type="paragraph" w:styleId="Heading1">
    <w:name w:val="heading 1"/>
    <w:basedOn w:val="ListParagraph"/>
    <w:next w:val="Normal"/>
    <w:link w:val="Heading1Char"/>
    <w:uiPriority w:val="9"/>
    <w:qFormat/>
    <w:rsid w:val="00D63EB7"/>
    <w:pPr>
      <w:numPr>
        <w:numId w:val="9"/>
      </w:numPr>
      <w:spacing w:after="200" w:line="360" w:lineRule="auto"/>
      <w:ind w:left="360" w:hanging="360"/>
      <w:contextualSpacing w:val="0"/>
      <w:jc w:val="both"/>
      <w:outlineLvl w:val="0"/>
    </w:pPr>
    <w:rPr>
      <w:b/>
      <w:bCs/>
      <w:i/>
      <w:iCs/>
      <w:smallCaps/>
      <w:sz w:val="24"/>
      <w:szCs w:val="24"/>
    </w:rPr>
  </w:style>
  <w:style w:type="paragraph" w:styleId="Heading2">
    <w:name w:val="heading 2"/>
    <w:basedOn w:val="ListParagraph"/>
    <w:next w:val="Normal"/>
    <w:link w:val="Heading2Char"/>
    <w:uiPriority w:val="9"/>
    <w:unhideWhenUsed/>
    <w:qFormat/>
    <w:rsid w:val="00D63EB7"/>
    <w:pPr>
      <w:numPr>
        <w:numId w:val="7"/>
      </w:numPr>
      <w:spacing w:after="200" w:line="360" w:lineRule="auto"/>
      <w:contextualSpacing w:val="0"/>
      <w:jc w:val="both"/>
      <w:outlineLvl w:val="1"/>
    </w:pPr>
    <w:rPr>
      <w:smallCaps/>
      <w:sz w:val="24"/>
      <w:szCs w:val="24"/>
      <w:u w:val="single"/>
    </w:rPr>
  </w:style>
  <w:style w:type="paragraph" w:styleId="Heading3">
    <w:name w:val="heading 3"/>
    <w:basedOn w:val="Normal"/>
    <w:next w:val="Normal"/>
    <w:link w:val="Heading3Char"/>
    <w:uiPriority w:val="9"/>
    <w:unhideWhenUsed/>
    <w:qFormat/>
    <w:rsid w:val="00D63EB7"/>
    <w:pPr>
      <w:numPr>
        <w:numId w:val="8"/>
      </w:numPr>
      <w:spacing w:after="200" w:line="360" w:lineRule="auto"/>
      <w:jc w:val="both"/>
      <w:outlineLvl w:val="2"/>
    </w:pPr>
    <w:rPr>
      <w:b/>
      <w:bCs/>
      <w:i/>
      <w:iCs/>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9F"/>
    <w:pPr>
      <w:ind w:left="720"/>
      <w:contextualSpacing/>
    </w:pPr>
  </w:style>
  <w:style w:type="paragraph" w:styleId="Header">
    <w:name w:val="header"/>
    <w:basedOn w:val="Normal"/>
    <w:link w:val="HeaderChar"/>
    <w:uiPriority w:val="99"/>
    <w:unhideWhenUsed/>
    <w:rsid w:val="009D4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B9F"/>
    <w:rPr>
      <w:lang w:val="en-GB"/>
    </w:rPr>
  </w:style>
  <w:style w:type="paragraph" w:styleId="FootnoteText">
    <w:name w:val="footnote text"/>
    <w:basedOn w:val="Normal"/>
    <w:link w:val="FootnoteTextChar"/>
    <w:uiPriority w:val="99"/>
    <w:semiHidden/>
    <w:unhideWhenUsed/>
    <w:rsid w:val="009D4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B9F"/>
    <w:rPr>
      <w:sz w:val="20"/>
      <w:szCs w:val="20"/>
      <w:lang w:val="en-GB"/>
    </w:rPr>
  </w:style>
  <w:style w:type="character" w:styleId="FootnoteReference">
    <w:name w:val="footnote reference"/>
    <w:basedOn w:val="DefaultParagraphFont"/>
    <w:uiPriority w:val="99"/>
    <w:semiHidden/>
    <w:unhideWhenUsed/>
    <w:rsid w:val="009D4B9F"/>
    <w:rPr>
      <w:vertAlign w:val="superscript"/>
    </w:rPr>
  </w:style>
  <w:style w:type="character" w:customStyle="1" w:styleId="Heading1Char">
    <w:name w:val="Heading 1 Char"/>
    <w:basedOn w:val="DefaultParagraphFont"/>
    <w:link w:val="Heading1"/>
    <w:uiPriority w:val="9"/>
    <w:rsid w:val="00D63EB7"/>
    <w:rPr>
      <w:b/>
      <w:bCs/>
      <w:i/>
      <w:iCs/>
      <w:smallCaps/>
      <w:sz w:val="24"/>
      <w:szCs w:val="24"/>
      <w:lang w:val="en-GB"/>
    </w:rPr>
  </w:style>
  <w:style w:type="character" w:customStyle="1" w:styleId="Heading2Char">
    <w:name w:val="Heading 2 Char"/>
    <w:basedOn w:val="DefaultParagraphFont"/>
    <w:link w:val="Heading2"/>
    <w:uiPriority w:val="9"/>
    <w:rsid w:val="00D63EB7"/>
    <w:rPr>
      <w:smallCaps/>
      <w:sz w:val="24"/>
      <w:szCs w:val="24"/>
      <w:u w:val="single"/>
      <w:lang w:val="en-GB"/>
    </w:rPr>
  </w:style>
  <w:style w:type="character" w:customStyle="1" w:styleId="Heading3Char">
    <w:name w:val="Heading 3 Char"/>
    <w:basedOn w:val="DefaultParagraphFont"/>
    <w:link w:val="Heading3"/>
    <w:uiPriority w:val="9"/>
    <w:rsid w:val="00D63EB7"/>
    <w:rPr>
      <w:b/>
      <w:bCs/>
      <w:i/>
      <w:iCs/>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7038">
      <w:bodyDiv w:val="1"/>
      <w:marLeft w:val="0"/>
      <w:marRight w:val="0"/>
      <w:marTop w:val="0"/>
      <w:marBottom w:val="0"/>
      <w:divBdr>
        <w:top w:val="none" w:sz="0" w:space="0" w:color="auto"/>
        <w:left w:val="none" w:sz="0" w:space="0" w:color="auto"/>
        <w:bottom w:val="none" w:sz="0" w:space="0" w:color="auto"/>
        <w:right w:val="none" w:sz="0" w:space="0" w:color="auto"/>
      </w:divBdr>
      <w:divsChild>
        <w:div w:id="1166215195">
          <w:marLeft w:val="0"/>
          <w:marRight w:val="0"/>
          <w:marTop w:val="480"/>
          <w:marBottom w:val="0"/>
          <w:divBdr>
            <w:top w:val="none" w:sz="0" w:space="0" w:color="auto"/>
            <w:left w:val="none" w:sz="0" w:space="0" w:color="auto"/>
            <w:bottom w:val="none" w:sz="0" w:space="0" w:color="auto"/>
            <w:right w:val="none" w:sz="0" w:space="0" w:color="auto"/>
          </w:divBdr>
          <w:divsChild>
            <w:div w:id="202442634">
              <w:marLeft w:val="0"/>
              <w:marRight w:val="0"/>
              <w:marTop w:val="0"/>
              <w:marBottom w:val="0"/>
              <w:divBdr>
                <w:top w:val="none" w:sz="0" w:space="0" w:color="auto"/>
                <w:left w:val="none" w:sz="0" w:space="0" w:color="auto"/>
                <w:bottom w:val="none" w:sz="0" w:space="0" w:color="auto"/>
                <w:right w:val="none" w:sz="0" w:space="0" w:color="auto"/>
              </w:divBdr>
              <w:divsChild>
                <w:div w:id="7554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7567">
          <w:marLeft w:val="0"/>
          <w:marRight w:val="0"/>
          <w:marTop w:val="480"/>
          <w:marBottom w:val="0"/>
          <w:divBdr>
            <w:top w:val="none" w:sz="0" w:space="0" w:color="auto"/>
            <w:left w:val="none" w:sz="0" w:space="0" w:color="auto"/>
            <w:bottom w:val="none" w:sz="0" w:space="0" w:color="auto"/>
            <w:right w:val="none" w:sz="0" w:space="0" w:color="auto"/>
          </w:divBdr>
          <w:divsChild>
            <w:div w:id="916400341">
              <w:marLeft w:val="0"/>
              <w:marRight w:val="0"/>
              <w:marTop w:val="0"/>
              <w:marBottom w:val="0"/>
              <w:divBdr>
                <w:top w:val="none" w:sz="0" w:space="0" w:color="auto"/>
                <w:left w:val="none" w:sz="0" w:space="0" w:color="auto"/>
                <w:bottom w:val="none" w:sz="0" w:space="0" w:color="auto"/>
                <w:right w:val="none" w:sz="0" w:space="0" w:color="auto"/>
              </w:divBdr>
              <w:divsChild>
                <w:div w:id="18792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215">
          <w:marLeft w:val="0"/>
          <w:marRight w:val="0"/>
          <w:marTop w:val="480"/>
          <w:marBottom w:val="0"/>
          <w:divBdr>
            <w:top w:val="none" w:sz="0" w:space="0" w:color="auto"/>
            <w:left w:val="none" w:sz="0" w:space="0" w:color="auto"/>
            <w:bottom w:val="none" w:sz="0" w:space="0" w:color="auto"/>
            <w:right w:val="none" w:sz="0" w:space="0" w:color="auto"/>
          </w:divBdr>
          <w:divsChild>
            <w:div w:id="144393743">
              <w:marLeft w:val="0"/>
              <w:marRight w:val="0"/>
              <w:marTop w:val="0"/>
              <w:marBottom w:val="0"/>
              <w:divBdr>
                <w:top w:val="none" w:sz="0" w:space="0" w:color="auto"/>
                <w:left w:val="none" w:sz="0" w:space="0" w:color="auto"/>
                <w:bottom w:val="none" w:sz="0" w:space="0" w:color="auto"/>
                <w:right w:val="none" w:sz="0" w:space="0" w:color="auto"/>
              </w:divBdr>
              <w:divsChild>
                <w:div w:id="12262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0436">
          <w:marLeft w:val="0"/>
          <w:marRight w:val="0"/>
          <w:marTop w:val="480"/>
          <w:marBottom w:val="0"/>
          <w:divBdr>
            <w:top w:val="none" w:sz="0" w:space="0" w:color="auto"/>
            <w:left w:val="none" w:sz="0" w:space="0" w:color="auto"/>
            <w:bottom w:val="none" w:sz="0" w:space="0" w:color="auto"/>
            <w:right w:val="none" w:sz="0" w:space="0" w:color="auto"/>
          </w:divBdr>
          <w:divsChild>
            <w:div w:id="551234538">
              <w:marLeft w:val="0"/>
              <w:marRight w:val="0"/>
              <w:marTop w:val="0"/>
              <w:marBottom w:val="0"/>
              <w:divBdr>
                <w:top w:val="none" w:sz="0" w:space="0" w:color="auto"/>
                <w:left w:val="none" w:sz="0" w:space="0" w:color="auto"/>
                <w:bottom w:val="none" w:sz="0" w:space="0" w:color="auto"/>
                <w:right w:val="none" w:sz="0" w:space="0" w:color="auto"/>
              </w:divBdr>
              <w:divsChild>
                <w:div w:id="6708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538919">
      <w:bodyDiv w:val="1"/>
      <w:marLeft w:val="0"/>
      <w:marRight w:val="0"/>
      <w:marTop w:val="0"/>
      <w:marBottom w:val="0"/>
      <w:divBdr>
        <w:top w:val="none" w:sz="0" w:space="0" w:color="auto"/>
        <w:left w:val="none" w:sz="0" w:space="0" w:color="auto"/>
        <w:bottom w:val="none" w:sz="0" w:space="0" w:color="auto"/>
        <w:right w:val="none" w:sz="0" w:space="0" w:color="auto"/>
      </w:divBdr>
      <w:divsChild>
        <w:div w:id="726302303">
          <w:marLeft w:val="0"/>
          <w:marRight w:val="0"/>
          <w:marTop w:val="480"/>
          <w:marBottom w:val="0"/>
          <w:divBdr>
            <w:top w:val="none" w:sz="0" w:space="0" w:color="auto"/>
            <w:left w:val="none" w:sz="0" w:space="0" w:color="auto"/>
            <w:bottom w:val="none" w:sz="0" w:space="0" w:color="auto"/>
            <w:right w:val="none" w:sz="0" w:space="0" w:color="auto"/>
          </w:divBdr>
          <w:divsChild>
            <w:div w:id="1933929691">
              <w:marLeft w:val="0"/>
              <w:marRight w:val="0"/>
              <w:marTop w:val="0"/>
              <w:marBottom w:val="0"/>
              <w:divBdr>
                <w:top w:val="none" w:sz="0" w:space="0" w:color="auto"/>
                <w:left w:val="none" w:sz="0" w:space="0" w:color="auto"/>
                <w:bottom w:val="none" w:sz="0" w:space="0" w:color="auto"/>
                <w:right w:val="none" w:sz="0" w:space="0" w:color="auto"/>
              </w:divBdr>
              <w:divsChild>
                <w:div w:id="12477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8566">
          <w:marLeft w:val="0"/>
          <w:marRight w:val="0"/>
          <w:marTop w:val="480"/>
          <w:marBottom w:val="0"/>
          <w:divBdr>
            <w:top w:val="none" w:sz="0" w:space="0" w:color="auto"/>
            <w:left w:val="none" w:sz="0" w:space="0" w:color="auto"/>
            <w:bottom w:val="none" w:sz="0" w:space="0" w:color="auto"/>
            <w:right w:val="none" w:sz="0" w:space="0" w:color="auto"/>
          </w:divBdr>
          <w:divsChild>
            <w:div w:id="104007090">
              <w:marLeft w:val="0"/>
              <w:marRight w:val="0"/>
              <w:marTop w:val="0"/>
              <w:marBottom w:val="0"/>
              <w:divBdr>
                <w:top w:val="none" w:sz="0" w:space="0" w:color="auto"/>
                <w:left w:val="none" w:sz="0" w:space="0" w:color="auto"/>
                <w:bottom w:val="none" w:sz="0" w:space="0" w:color="auto"/>
                <w:right w:val="none" w:sz="0" w:space="0" w:color="auto"/>
              </w:divBdr>
              <w:divsChild>
                <w:div w:id="8409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544">
          <w:marLeft w:val="0"/>
          <w:marRight w:val="0"/>
          <w:marTop w:val="480"/>
          <w:marBottom w:val="0"/>
          <w:divBdr>
            <w:top w:val="none" w:sz="0" w:space="0" w:color="auto"/>
            <w:left w:val="none" w:sz="0" w:space="0" w:color="auto"/>
            <w:bottom w:val="none" w:sz="0" w:space="0" w:color="auto"/>
            <w:right w:val="none" w:sz="0" w:space="0" w:color="auto"/>
          </w:divBdr>
          <w:divsChild>
            <w:div w:id="779760501">
              <w:marLeft w:val="0"/>
              <w:marRight w:val="0"/>
              <w:marTop w:val="0"/>
              <w:marBottom w:val="0"/>
              <w:divBdr>
                <w:top w:val="none" w:sz="0" w:space="0" w:color="auto"/>
                <w:left w:val="none" w:sz="0" w:space="0" w:color="auto"/>
                <w:bottom w:val="none" w:sz="0" w:space="0" w:color="auto"/>
                <w:right w:val="none" w:sz="0" w:space="0" w:color="auto"/>
              </w:divBdr>
              <w:divsChild>
                <w:div w:id="5856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4797">
      <w:bodyDiv w:val="1"/>
      <w:marLeft w:val="0"/>
      <w:marRight w:val="0"/>
      <w:marTop w:val="0"/>
      <w:marBottom w:val="0"/>
      <w:divBdr>
        <w:top w:val="none" w:sz="0" w:space="0" w:color="auto"/>
        <w:left w:val="none" w:sz="0" w:space="0" w:color="auto"/>
        <w:bottom w:val="none" w:sz="0" w:space="0" w:color="auto"/>
        <w:right w:val="none" w:sz="0" w:space="0" w:color="auto"/>
      </w:divBdr>
      <w:divsChild>
        <w:div w:id="1026178118">
          <w:marLeft w:val="0"/>
          <w:marRight w:val="0"/>
          <w:marTop w:val="480"/>
          <w:marBottom w:val="0"/>
          <w:divBdr>
            <w:top w:val="none" w:sz="0" w:space="0" w:color="auto"/>
            <w:left w:val="none" w:sz="0" w:space="0" w:color="auto"/>
            <w:bottom w:val="none" w:sz="0" w:space="0" w:color="auto"/>
            <w:right w:val="none" w:sz="0" w:space="0" w:color="auto"/>
          </w:divBdr>
          <w:divsChild>
            <w:div w:id="191193140">
              <w:marLeft w:val="0"/>
              <w:marRight w:val="0"/>
              <w:marTop w:val="0"/>
              <w:marBottom w:val="0"/>
              <w:divBdr>
                <w:top w:val="none" w:sz="0" w:space="0" w:color="auto"/>
                <w:left w:val="none" w:sz="0" w:space="0" w:color="auto"/>
                <w:bottom w:val="none" w:sz="0" w:space="0" w:color="auto"/>
                <w:right w:val="none" w:sz="0" w:space="0" w:color="auto"/>
              </w:divBdr>
              <w:divsChild>
                <w:div w:id="4263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20213">
          <w:marLeft w:val="0"/>
          <w:marRight w:val="0"/>
          <w:marTop w:val="480"/>
          <w:marBottom w:val="0"/>
          <w:divBdr>
            <w:top w:val="none" w:sz="0" w:space="0" w:color="auto"/>
            <w:left w:val="none" w:sz="0" w:space="0" w:color="auto"/>
            <w:bottom w:val="none" w:sz="0" w:space="0" w:color="auto"/>
            <w:right w:val="none" w:sz="0" w:space="0" w:color="auto"/>
          </w:divBdr>
          <w:divsChild>
            <w:div w:id="1223253258">
              <w:marLeft w:val="0"/>
              <w:marRight w:val="0"/>
              <w:marTop w:val="0"/>
              <w:marBottom w:val="0"/>
              <w:divBdr>
                <w:top w:val="none" w:sz="0" w:space="0" w:color="auto"/>
                <w:left w:val="none" w:sz="0" w:space="0" w:color="auto"/>
                <w:bottom w:val="none" w:sz="0" w:space="0" w:color="auto"/>
                <w:right w:val="none" w:sz="0" w:space="0" w:color="auto"/>
              </w:divBdr>
              <w:divsChild>
                <w:div w:id="186351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6154">
          <w:marLeft w:val="0"/>
          <w:marRight w:val="0"/>
          <w:marTop w:val="480"/>
          <w:marBottom w:val="0"/>
          <w:divBdr>
            <w:top w:val="none" w:sz="0" w:space="0" w:color="auto"/>
            <w:left w:val="none" w:sz="0" w:space="0" w:color="auto"/>
            <w:bottom w:val="none" w:sz="0" w:space="0" w:color="auto"/>
            <w:right w:val="none" w:sz="0" w:space="0" w:color="auto"/>
          </w:divBdr>
          <w:divsChild>
            <w:div w:id="1593051031">
              <w:marLeft w:val="0"/>
              <w:marRight w:val="0"/>
              <w:marTop w:val="0"/>
              <w:marBottom w:val="0"/>
              <w:divBdr>
                <w:top w:val="none" w:sz="0" w:space="0" w:color="auto"/>
                <w:left w:val="none" w:sz="0" w:space="0" w:color="auto"/>
                <w:bottom w:val="none" w:sz="0" w:space="0" w:color="auto"/>
                <w:right w:val="none" w:sz="0" w:space="0" w:color="auto"/>
              </w:divBdr>
              <w:divsChild>
                <w:div w:id="1984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4268">
          <w:marLeft w:val="0"/>
          <w:marRight w:val="0"/>
          <w:marTop w:val="480"/>
          <w:marBottom w:val="0"/>
          <w:divBdr>
            <w:top w:val="none" w:sz="0" w:space="0" w:color="auto"/>
            <w:left w:val="none" w:sz="0" w:space="0" w:color="auto"/>
            <w:bottom w:val="none" w:sz="0" w:space="0" w:color="auto"/>
            <w:right w:val="none" w:sz="0" w:space="0" w:color="auto"/>
          </w:divBdr>
          <w:divsChild>
            <w:div w:id="912593297">
              <w:marLeft w:val="0"/>
              <w:marRight w:val="0"/>
              <w:marTop w:val="0"/>
              <w:marBottom w:val="0"/>
              <w:divBdr>
                <w:top w:val="none" w:sz="0" w:space="0" w:color="auto"/>
                <w:left w:val="none" w:sz="0" w:space="0" w:color="auto"/>
                <w:bottom w:val="none" w:sz="0" w:space="0" w:color="auto"/>
                <w:right w:val="none" w:sz="0" w:space="0" w:color="auto"/>
              </w:divBdr>
              <w:divsChild>
                <w:div w:id="16114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1840">
      <w:bodyDiv w:val="1"/>
      <w:marLeft w:val="0"/>
      <w:marRight w:val="0"/>
      <w:marTop w:val="0"/>
      <w:marBottom w:val="0"/>
      <w:divBdr>
        <w:top w:val="none" w:sz="0" w:space="0" w:color="auto"/>
        <w:left w:val="none" w:sz="0" w:space="0" w:color="auto"/>
        <w:bottom w:val="none" w:sz="0" w:space="0" w:color="auto"/>
        <w:right w:val="none" w:sz="0" w:space="0" w:color="auto"/>
      </w:divBdr>
      <w:divsChild>
        <w:div w:id="1984583680">
          <w:marLeft w:val="0"/>
          <w:marRight w:val="0"/>
          <w:marTop w:val="480"/>
          <w:marBottom w:val="0"/>
          <w:divBdr>
            <w:top w:val="none" w:sz="0" w:space="0" w:color="auto"/>
            <w:left w:val="none" w:sz="0" w:space="0" w:color="auto"/>
            <w:bottom w:val="none" w:sz="0" w:space="0" w:color="auto"/>
            <w:right w:val="none" w:sz="0" w:space="0" w:color="auto"/>
          </w:divBdr>
          <w:divsChild>
            <w:div w:id="368990454">
              <w:marLeft w:val="0"/>
              <w:marRight w:val="0"/>
              <w:marTop w:val="0"/>
              <w:marBottom w:val="0"/>
              <w:divBdr>
                <w:top w:val="none" w:sz="0" w:space="0" w:color="auto"/>
                <w:left w:val="none" w:sz="0" w:space="0" w:color="auto"/>
                <w:bottom w:val="none" w:sz="0" w:space="0" w:color="auto"/>
                <w:right w:val="none" w:sz="0" w:space="0" w:color="auto"/>
              </w:divBdr>
              <w:divsChild>
                <w:div w:id="19359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8094">
          <w:marLeft w:val="0"/>
          <w:marRight w:val="0"/>
          <w:marTop w:val="480"/>
          <w:marBottom w:val="0"/>
          <w:divBdr>
            <w:top w:val="none" w:sz="0" w:space="0" w:color="auto"/>
            <w:left w:val="none" w:sz="0" w:space="0" w:color="auto"/>
            <w:bottom w:val="none" w:sz="0" w:space="0" w:color="auto"/>
            <w:right w:val="none" w:sz="0" w:space="0" w:color="auto"/>
          </w:divBdr>
          <w:divsChild>
            <w:div w:id="278338995">
              <w:marLeft w:val="0"/>
              <w:marRight w:val="0"/>
              <w:marTop w:val="0"/>
              <w:marBottom w:val="0"/>
              <w:divBdr>
                <w:top w:val="none" w:sz="0" w:space="0" w:color="auto"/>
                <w:left w:val="none" w:sz="0" w:space="0" w:color="auto"/>
                <w:bottom w:val="none" w:sz="0" w:space="0" w:color="auto"/>
                <w:right w:val="none" w:sz="0" w:space="0" w:color="auto"/>
              </w:divBdr>
              <w:divsChild>
                <w:div w:id="6088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00834">
      <w:bodyDiv w:val="1"/>
      <w:marLeft w:val="0"/>
      <w:marRight w:val="0"/>
      <w:marTop w:val="0"/>
      <w:marBottom w:val="0"/>
      <w:divBdr>
        <w:top w:val="none" w:sz="0" w:space="0" w:color="auto"/>
        <w:left w:val="none" w:sz="0" w:space="0" w:color="auto"/>
        <w:bottom w:val="none" w:sz="0" w:space="0" w:color="auto"/>
        <w:right w:val="none" w:sz="0" w:space="0" w:color="auto"/>
      </w:divBdr>
      <w:divsChild>
        <w:div w:id="1573848489">
          <w:marLeft w:val="0"/>
          <w:marRight w:val="0"/>
          <w:marTop w:val="480"/>
          <w:marBottom w:val="0"/>
          <w:divBdr>
            <w:top w:val="none" w:sz="0" w:space="0" w:color="auto"/>
            <w:left w:val="none" w:sz="0" w:space="0" w:color="auto"/>
            <w:bottom w:val="none" w:sz="0" w:space="0" w:color="auto"/>
            <w:right w:val="none" w:sz="0" w:space="0" w:color="auto"/>
          </w:divBdr>
          <w:divsChild>
            <w:div w:id="2079477057">
              <w:marLeft w:val="0"/>
              <w:marRight w:val="0"/>
              <w:marTop w:val="0"/>
              <w:marBottom w:val="0"/>
              <w:divBdr>
                <w:top w:val="none" w:sz="0" w:space="0" w:color="auto"/>
                <w:left w:val="none" w:sz="0" w:space="0" w:color="auto"/>
                <w:bottom w:val="none" w:sz="0" w:space="0" w:color="auto"/>
                <w:right w:val="none" w:sz="0" w:space="0" w:color="auto"/>
              </w:divBdr>
              <w:divsChild>
                <w:div w:id="10677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726">
          <w:marLeft w:val="0"/>
          <w:marRight w:val="0"/>
          <w:marTop w:val="480"/>
          <w:marBottom w:val="0"/>
          <w:divBdr>
            <w:top w:val="none" w:sz="0" w:space="0" w:color="auto"/>
            <w:left w:val="none" w:sz="0" w:space="0" w:color="auto"/>
            <w:bottom w:val="none" w:sz="0" w:space="0" w:color="auto"/>
            <w:right w:val="none" w:sz="0" w:space="0" w:color="auto"/>
          </w:divBdr>
          <w:divsChild>
            <w:div w:id="800416818">
              <w:marLeft w:val="0"/>
              <w:marRight w:val="0"/>
              <w:marTop w:val="0"/>
              <w:marBottom w:val="0"/>
              <w:divBdr>
                <w:top w:val="none" w:sz="0" w:space="0" w:color="auto"/>
                <w:left w:val="none" w:sz="0" w:space="0" w:color="auto"/>
                <w:bottom w:val="none" w:sz="0" w:space="0" w:color="auto"/>
                <w:right w:val="none" w:sz="0" w:space="0" w:color="auto"/>
              </w:divBdr>
              <w:divsChild>
                <w:div w:id="10420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ndiankanoon.org/doc/357830/"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79BD-3E4C-8849-B515-A03E389A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6989</Words>
  <Characters>39841</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Sukhdev Vihar</dc:creator>
  <cp:keywords/>
  <dc:description/>
  <cp:lastModifiedBy>Justice Dipak Misra</cp:lastModifiedBy>
  <cp:revision>4</cp:revision>
  <dcterms:created xsi:type="dcterms:W3CDTF">2020-03-25T15:39:00Z</dcterms:created>
  <dcterms:modified xsi:type="dcterms:W3CDTF">2020-03-25T15:45:00Z</dcterms:modified>
</cp:coreProperties>
</file>