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76" w:rsidRPr="00DE4476" w:rsidRDefault="00DE4476" w:rsidP="00DE4476">
      <w:pPr>
        <w:spacing w:line="480" w:lineRule="auto"/>
        <w:ind w:firstLine="720"/>
        <w:jc w:val="center"/>
        <w:rPr>
          <w:rFonts w:ascii="Bookman Old Style" w:hAnsi="Bookman Old Style"/>
          <w:b/>
          <w:sz w:val="28"/>
          <w:u w:val="single"/>
        </w:rPr>
      </w:pPr>
      <w:r w:rsidRPr="00DE4476">
        <w:rPr>
          <w:rFonts w:ascii="Bookman Old Style" w:hAnsi="Bookman Old Style"/>
          <w:b/>
          <w:sz w:val="28"/>
          <w:u w:val="single"/>
        </w:rPr>
        <w:t>A critique of the Perkins Ruling</w:t>
      </w:r>
    </w:p>
    <w:p w:rsidR="007248C6" w:rsidRDefault="00246AA9" w:rsidP="00246AA9">
      <w:pPr>
        <w:spacing w:line="480" w:lineRule="auto"/>
        <w:jc w:val="both"/>
        <w:rPr>
          <w:rFonts w:ascii="Bookman Old Style" w:hAnsi="Bookman Old Style"/>
          <w:sz w:val="24"/>
        </w:rPr>
      </w:pPr>
      <w:r>
        <w:rPr>
          <w:rFonts w:ascii="Bookman Old Style" w:hAnsi="Bookman Old Style"/>
          <w:sz w:val="24"/>
        </w:rPr>
        <w:t>1.</w:t>
      </w:r>
      <w:r>
        <w:rPr>
          <w:rFonts w:ascii="Bookman Old Style" w:hAnsi="Bookman Old Style"/>
          <w:sz w:val="24"/>
        </w:rPr>
        <w:tab/>
      </w:r>
      <w:r w:rsidR="00587B1E">
        <w:rPr>
          <w:rFonts w:ascii="Bookman Old Style" w:hAnsi="Bookman Old Style"/>
          <w:sz w:val="24"/>
        </w:rPr>
        <w:t>The law o</w:t>
      </w:r>
      <w:r w:rsidR="003B0D52">
        <w:rPr>
          <w:rFonts w:ascii="Bookman Old Style" w:hAnsi="Bookman Old Style"/>
          <w:sz w:val="24"/>
        </w:rPr>
        <w:t xml:space="preserve">n appointment of an arbitrator has undergone myriad of changes. The efforts, both at the legislative level as well as the judiciary, have been to ensure and retain the impartiality in the process of arbitration. However, </w:t>
      </w:r>
      <w:r w:rsidR="003852FF">
        <w:rPr>
          <w:rFonts w:ascii="Bookman Old Style" w:hAnsi="Bookman Old Style"/>
          <w:sz w:val="24"/>
        </w:rPr>
        <w:t>at the same</w:t>
      </w:r>
      <w:r w:rsidR="007248C6">
        <w:rPr>
          <w:rFonts w:ascii="Bookman Old Style" w:hAnsi="Bookman Old Style"/>
          <w:sz w:val="24"/>
        </w:rPr>
        <w:t xml:space="preserve"> time</w:t>
      </w:r>
      <w:r w:rsidR="003852FF">
        <w:rPr>
          <w:rFonts w:ascii="Bookman Old Style" w:hAnsi="Bookman Old Style"/>
          <w:sz w:val="24"/>
        </w:rPr>
        <w:t>, the significance of maintaining</w:t>
      </w:r>
      <w:r w:rsidR="007248C6">
        <w:rPr>
          <w:rFonts w:ascii="Bookman Old Style" w:hAnsi="Bookman Old Style"/>
          <w:sz w:val="24"/>
        </w:rPr>
        <w:t xml:space="preserve"> and upholding</w:t>
      </w:r>
      <w:r w:rsidR="003852FF">
        <w:rPr>
          <w:rFonts w:ascii="Bookman Old Style" w:hAnsi="Bookman Old Style"/>
          <w:sz w:val="24"/>
        </w:rPr>
        <w:t xml:space="preserve"> the principle of minimal interference by the Courts</w:t>
      </w:r>
      <w:r w:rsidR="007248C6">
        <w:rPr>
          <w:rFonts w:ascii="Bookman Old Style" w:hAnsi="Bookman Old Style"/>
          <w:sz w:val="24"/>
        </w:rPr>
        <w:t xml:space="preserve"> in the arbitration process</w:t>
      </w:r>
      <w:r w:rsidR="003852FF">
        <w:rPr>
          <w:rFonts w:ascii="Bookman Old Style" w:hAnsi="Bookman Old Style"/>
          <w:sz w:val="24"/>
        </w:rPr>
        <w:t xml:space="preserve"> has also been recognized.</w:t>
      </w:r>
      <w:r w:rsidR="007248C6">
        <w:rPr>
          <w:rFonts w:ascii="Bookman Old Style" w:hAnsi="Bookman Old Style"/>
          <w:sz w:val="24"/>
        </w:rPr>
        <w:t xml:space="preserve"> The challenge faced is to maintain a balance between the two well-established principles in the Indian Arbitration Law. </w:t>
      </w:r>
    </w:p>
    <w:p w:rsidR="00587B1E" w:rsidRDefault="00246AA9" w:rsidP="00246AA9">
      <w:pPr>
        <w:spacing w:line="480" w:lineRule="auto"/>
        <w:jc w:val="both"/>
        <w:rPr>
          <w:rFonts w:ascii="Bookman Old Style" w:hAnsi="Bookman Old Style"/>
          <w:sz w:val="24"/>
        </w:rPr>
      </w:pPr>
      <w:r>
        <w:rPr>
          <w:rFonts w:ascii="Bookman Old Style" w:hAnsi="Bookman Old Style"/>
          <w:sz w:val="24"/>
        </w:rPr>
        <w:t>2.</w:t>
      </w:r>
      <w:r>
        <w:rPr>
          <w:rFonts w:ascii="Bookman Old Style" w:hAnsi="Bookman Old Style"/>
          <w:sz w:val="24"/>
        </w:rPr>
        <w:tab/>
      </w:r>
      <w:r w:rsidR="007248C6">
        <w:rPr>
          <w:rFonts w:ascii="Bookman Old Style" w:hAnsi="Bookman Old Style"/>
          <w:sz w:val="24"/>
        </w:rPr>
        <w:t xml:space="preserve">A recent decision wherein the Supreme Court was faced with a dilemma of </w:t>
      </w:r>
      <w:r w:rsidR="008A34E4">
        <w:rPr>
          <w:rFonts w:ascii="Bookman Old Style" w:hAnsi="Bookman Old Style"/>
          <w:sz w:val="24"/>
        </w:rPr>
        <w:t xml:space="preserve">the nature </w:t>
      </w:r>
      <w:r w:rsidR="007248C6">
        <w:rPr>
          <w:rFonts w:ascii="Bookman Old Style" w:hAnsi="Bookman Old Style"/>
          <w:sz w:val="24"/>
        </w:rPr>
        <w:t>can</w:t>
      </w:r>
      <w:r w:rsidR="003852FF">
        <w:rPr>
          <w:rFonts w:ascii="Bookman Old Style" w:hAnsi="Bookman Old Style"/>
          <w:sz w:val="24"/>
        </w:rPr>
        <w:t xml:space="preserve"> </w:t>
      </w:r>
      <w:r w:rsidR="007248C6">
        <w:rPr>
          <w:rFonts w:ascii="Bookman Old Style" w:hAnsi="Bookman Old Style"/>
          <w:sz w:val="24"/>
        </w:rPr>
        <w:t xml:space="preserve">be found </w:t>
      </w:r>
      <w:r w:rsidR="007248C6" w:rsidRPr="00587B1E">
        <w:rPr>
          <w:rFonts w:ascii="Bookman Old Style" w:hAnsi="Bookman Old Style"/>
          <w:sz w:val="24"/>
        </w:rPr>
        <w:t xml:space="preserve">in the case of </w:t>
      </w:r>
      <w:r w:rsidR="007248C6" w:rsidRPr="007248C6">
        <w:rPr>
          <w:rFonts w:ascii="Bookman Old Style" w:hAnsi="Bookman Old Style"/>
          <w:b/>
          <w:i/>
          <w:sz w:val="24"/>
        </w:rPr>
        <w:t xml:space="preserve">Perkins Eastman Architects DPC and </w:t>
      </w:r>
      <w:proofErr w:type="spellStart"/>
      <w:r w:rsidR="007248C6" w:rsidRPr="007248C6">
        <w:rPr>
          <w:rFonts w:ascii="Bookman Old Style" w:hAnsi="Bookman Old Style"/>
          <w:b/>
          <w:i/>
          <w:sz w:val="24"/>
        </w:rPr>
        <w:t>Ors</w:t>
      </w:r>
      <w:proofErr w:type="spellEnd"/>
      <w:r w:rsidR="007248C6" w:rsidRPr="007248C6">
        <w:rPr>
          <w:rFonts w:ascii="Bookman Old Style" w:hAnsi="Bookman Old Style"/>
          <w:b/>
          <w:i/>
          <w:sz w:val="24"/>
        </w:rPr>
        <w:t>. v. HSCC (India) Ltd.</w:t>
      </w:r>
      <w:r>
        <w:rPr>
          <w:rStyle w:val="FootnoteReference"/>
          <w:rFonts w:ascii="Bookman Old Style" w:hAnsi="Bookman Old Style"/>
          <w:b/>
          <w:i/>
          <w:sz w:val="24"/>
        </w:rPr>
        <w:footnoteReference w:id="1"/>
      </w:r>
      <w:r w:rsidR="007248C6" w:rsidRPr="007248C6">
        <w:rPr>
          <w:rFonts w:ascii="Bookman Old Style" w:hAnsi="Bookman Old Style"/>
          <w:b/>
          <w:i/>
          <w:sz w:val="24"/>
        </w:rPr>
        <w:t xml:space="preserve"> (“Perkins”)</w:t>
      </w:r>
      <w:r w:rsidR="007248C6">
        <w:rPr>
          <w:rFonts w:ascii="Bookman Old Style" w:hAnsi="Bookman Old Style"/>
          <w:b/>
          <w:i/>
          <w:sz w:val="24"/>
        </w:rPr>
        <w:t xml:space="preserve">. </w:t>
      </w:r>
      <w:r w:rsidR="008A34E4" w:rsidRPr="008A34E4">
        <w:rPr>
          <w:rFonts w:ascii="Bookman Old Style" w:hAnsi="Bookman Old Style"/>
          <w:sz w:val="24"/>
        </w:rPr>
        <w:t>T</w:t>
      </w:r>
      <w:r w:rsidR="007248C6" w:rsidRPr="007248C6">
        <w:rPr>
          <w:rFonts w:ascii="Bookman Old Style" w:hAnsi="Bookman Old Style"/>
          <w:sz w:val="24"/>
        </w:rPr>
        <w:t>o sum up</w:t>
      </w:r>
      <w:r w:rsidR="007248C6">
        <w:rPr>
          <w:rFonts w:ascii="Bookman Old Style" w:hAnsi="Bookman Old Style"/>
          <w:sz w:val="24"/>
        </w:rPr>
        <w:t xml:space="preserve"> the decision in a sentence, the Court </w:t>
      </w:r>
      <w:r w:rsidR="008A34E4">
        <w:rPr>
          <w:rFonts w:ascii="Bookman Old Style" w:hAnsi="Bookman Old Style"/>
          <w:sz w:val="24"/>
        </w:rPr>
        <w:t>has</w:t>
      </w:r>
      <w:r w:rsidR="008468B8">
        <w:rPr>
          <w:rFonts w:ascii="Bookman Old Style" w:hAnsi="Bookman Old Style"/>
          <w:sz w:val="24"/>
        </w:rPr>
        <w:t xml:space="preserve"> invalidated and nullified the effect of Arbitration Clauses stipulating </w:t>
      </w:r>
      <w:r w:rsidR="00B546F2">
        <w:rPr>
          <w:rFonts w:ascii="Bookman Old Style" w:hAnsi="Bookman Old Style"/>
          <w:sz w:val="24"/>
        </w:rPr>
        <w:t>appointment of Sole Arbitrator by one of the parties to the dispute</w:t>
      </w:r>
      <w:r w:rsidR="00587B1E" w:rsidRPr="00587B1E">
        <w:rPr>
          <w:rFonts w:ascii="Bookman Old Style" w:hAnsi="Bookman Old Style"/>
          <w:sz w:val="24"/>
        </w:rPr>
        <w:t xml:space="preserve">. </w:t>
      </w:r>
      <w:r w:rsidR="008A34E4">
        <w:rPr>
          <w:rFonts w:ascii="Bookman Old Style" w:hAnsi="Bookman Old Style"/>
          <w:sz w:val="24"/>
        </w:rPr>
        <w:t xml:space="preserve">The implications of the said decision have been felt by the entire legal fraternity. In our critical analysis of the said decision, we shall consecrate on the issue whether the judiciary has correctly applied the principles of judicial interpretation in arriving at its decision. Further, the effect of the decision, which has sent ripples over the entire arbitration system of our country, shall also be highlighted in the present analysis. </w:t>
      </w:r>
    </w:p>
    <w:p w:rsidR="00587B1E" w:rsidRDefault="00246AA9" w:rsidP="00246AA9">
      <w:pPr>
        <w:spacing w:line="480" w:lineRule="auto"/>
        <w:jc w:val="both"/>
        <w:rPr>
          <w:rFonts w:ascii="Bookman Old Style" w:hAnsi="Bookman Old Style"/>
          <w:sz w:val="24"/>
        </w:rPr>
      </w:pPr>
      <w:r>
        <w:rPr>
          <w:rFonts w:ascii="Bookman Old Style" w:hAnsi="Bookman Old Style"/>
          <w:sz w:val="24"/>
        </w:rPr>
        <w:lastRenderedPageBreak/>
        <w:t>3.</w:t>
      </w:r>
      <w:r>
        <w:rPr>
          <w:rFonts w:ascii="Bookman Old Style" w:hAnsi="Bookman Old Style"/>
          <w:sz w:val="24"/>
        </w:rPr>
        <w:tab/>
      </w:r>
      <w:r w:rsidR="008642BE">
        <w:rPr>
          <w:rFonts w:ascii="Bookman Old Style" w:hAnsi="Bookman Old Style"/>
          <w:sz w:val="24"/>
        </w:rPr>
        <w:t xml:space="preserve">The Supreme Court was presented with the opportunity in view of the common and well-recognized practice </w:t>
      </w:r>
      <w:r w:rsidR="008642BE" w:rsidRPr="00587B1E">
        <w:rPr>
          <w:rFonts w:ascii="Bookman Old Style" w:hAnsi="Bookman Old Style"/>
          <w:sz w:val="24"/>
        </w:rPr>
        <w:t xml:space="preserve">in commercial contracts to have an arbitration clause </w:t>
      </w:r>
      <w:r w:rsidR="008642BE">
        <w:rPr>
          <w:rFonts w:ascii="Bookman Old Style" w:hAnsi="Bookman Old Style"/>
          <w:sz w:val="24"/>
        </w:rPr>
        <w:t>wherein a</w:t>
      </w:r>
      <w:r w:rsidR="008642BE" w:rsidRPr="00587B1E">
        <w:rPr>
          <w:rFonts w:ascii="Bookman Old Style" w:hAnsi="Bookman Old Style"/>
          <w:sz w:val="24"/>
        </w:rPr>
        <w:t xml:space="preserve"> unilateral </w:t>
      </w:r>
      <w:r w:rsidR="008642BE">
        <w:rPr>
          <w:rFonts w:ascii="Bookman Old Style" w:hAnsi="Bookman Old Style"/>
          <w:sz w:val="24"/>
        </w:rPr>
        <w:t>is given to one of the parties</w:t>
      </w:r>
      <w:r w:rsidR="008642BE" w:rsidRPr="00587B1E">
        <w:rPr>
          <w:rFonts w:ascii="Bookman Old Style" w:hAnsi="Bookman Old Style"/>
          <w:sz w:val="24"/>
        </w:rPr>
        <w:t xml:space="preserve"> to appoint a sole arbitrator to adjudicate upon their disputes.</w:t>
      </w:r>
      <w:r w:rsidR="008642BE">
        <w:rPr>
          <w:rFonts w:ascii="Bookman Old Style" w:hAnsi="Bookman Old Style"/>
          <w:sz w:val="24"/>
        </w:rPr>
        <w:t xml:space="preserve"> The Perkins Judgment, in effect, invalidates such an arbitration clause by holding that the said clause adversely impacts the impartiality by giving the unilateral power to one of the parties to appoint the sole arbitrator. </w:t>
      </w:r>
    </w:p>
    <w:p w:rsidR="00DE4476" w:rsidRDefault="00246AA9" w:rsidP="00246AA9">
      <w:pPr>
        <w:spacing w:line="480" w:lineRule="auto"/>
        <w:jc w:val="both"/>
        <w:rPr>
          <w:rFonts w:ascii="Bookman Old Style" w:hAnsi="Bookman Old Style"/>
          <w:sz w:val="24"/>
        </w:rPr>
      </w:pPr>
      <w:r>
        <w:rPr>
          <w:rFonts w:ascii="Bookman Old Style" w:hAnsi="Bookman Old Style"/>
          <w:sz w:val="24"/>
        </w:rPr>
        <w:t>4.</w:t>
      </w:r>
      <w:r>
        <w:rPr>
          <w:rFonts w:ascii="Bookman Old Style" w:hAnsi="Bookman Old Style"/>
          <w:sz w:val="24"/>
        </w:rPr>
        <w:tab/>
      </w:r>
      <w:r w:rsidR="00CD6FA8">
        <w:rPr>
          <w:rFonts w:ascii="Bookman Old Style" w:hAnsi="Bookman Old Style"/>
          <w:sz w:val="24"/>
        </w:rPr>
        <w:t>The Arbitration and Conciliation Act itself stipulates the significance of impartiality of an arbitrator(s) in various provisions contained in the Act. Firstly, i</w:t>
      </w:r>
      <w:r w:rsidR="00DE4476">
        <w:rPr>
          <w:rFonts w:ascii="Bookman Old Style" w:hAnsi="Bookman Old Style"/>
          <w:sz w:val="24"/>
        </w:rPr>
        <w:t>t is incumbent to underscore</w:t>
      </w:r>
      <w:r w:rsidR="00D23803">
        <w:rPr>
          <w:rFonts w:ascii="Bookman Old Style" w:hAnsi="Bookman Old Style"/>
          <w:sz w:val="24"/>
        </w:rPr>
        <w:t xml:space="preserve"> and highlight</w:t>
      </w:r>
      <w:r w:rsidR="00DE4476">
        <w:rPr>
          <w:rFonts w:ascii="Bookman Old Style" w:hAnsi="Bookman Old Style"/>
          <w:sz w:val="24"/>
        </w:rPr>
        <w:t xml:space="preserve"> </w:t>
      </w:r>
      <w:r w:rsidR="00CD6FA8">
        <w:rPr>
          <w:rFonts w:ascii="Bookman Old Style" w:hAnsi="Bookman Old Style"/>
          <w:sz w:val="24"/>
        </w:rPr>
        <w:t>the said legislative provisions in order to d</w:t>
      </w:r>
      <w:r w:rsidR="00510DE1">
        <w:rPr>
          <w:rFonts w:ascii="Bookman Old Style" w:hAnsi="Bookman Old Style"/>
          <w:sz w:val="24"/>
        </w:rPr>
        <w:t xml:space="preserve">etermine to understand the true and correct import of the decision in Perkins case. </w:t>
      </w:r>
      <w:r w:rsidR="008C3A22">
        <w:rPr>
          <w:rFonts w:ascii="Bookman Old Style" w:hAnsi="Bookman Old Style"/>
          <w:sz w:val="24"/>
        </w:rPr>
        <w:t>The relevant provisions are reproduced below:</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“Section 11</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 xml:space="preserve"> ………….</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(5) Failing any agreement referred to in sub-section (2), in </w:t>
      </w:r>
      <w:proofErr w:type="gramStart"/>
      <w:r w:rsidRPr="00587B1E">
        <w:rPr>
          <w:rFonts w:ascii="Bookman Old Style" w:hAnsi="Bookman Old Style"/>
          <w:sz w:val="24"/>
        </w:rPr>
        <w:t>an arbitration</w:t>
      </w:r>
      <w:proofErr w:type="gramEnd"/>
      <w:r w:rsidRPr="00587B1E">
        <w:rPr>
          <w:rFonts w:ascii="Bookman Old Style" w:hAnsi="Bookman Old Style"/>
          <w:sz w:val="24"/>
        </w:rPr>
        <w:t xml:space="preserve"> with a sole arbitrator……...</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(6) Where, under an appointment procedure agreed upon by the parties, —</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 xml:space="preserve">(a) </w:t>
      </w:r>
      <w:proofErr w:type="gramStart"/>
      <w:r w:rsidRPr="00587B1E">
        <w:rPr>
          <w:rFonts w:ascii="Bookman Old Style" w:hAnsi="Bookman Old Style"/>
          <w:sz w:val="24"/>
        </w:rPr>
        <w:t>a</w:t>
      </w:r>
      <w:proofErr w:type="gramEnd"/>
      <w:r w:rsidRPr="00587B1E">
        <w:rPr>
          <w:rFonts w:ascii="Bookman Old Style" w:hAnsi="Bookman Old Style"/>
          <w:sz w:val="24"/>
        </w:rPr>
        <w:t xml:space="preserve"> party fails to act as required under that procedure; or</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(b) ………………..</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(c) ………………….</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a party may request the Supreme Court or, as the case may be, the High Court or any person or institution designated by such Court to take the necessary measure, unless the agreement on the </w:t>
      </w:r>
      <w:r w:rsidRPr="00587B1E">
        <w:rPr>
          <w:rFonts w:ascii="Bookman Old Style" w:hAnsi="Bookman Old Style"/>
          <w:sz w:val="24"/>
        </w:rPr>
        <w:lastRenderedPageBreak/>
        <w:t>appointment procedure provides other means for securing the appointment.</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(8) The Supreme Court or, as the case may be, the High Court or the person or institution designated by such Court, before appointing an arbitrator, shall seek a disclosure in writing from the prospective arbitrator in terms of sub-section (1) of section 12, and have due regard to—</w:t>
      </w:r>
    </w:p>
    <w:p w:rsidR="008C3A22" w:rsidRPr="00587B1E" w:rsidRDefault="008C3A22" w:rsidP="008C3A22">
      <w:pPr>
        <w:spacing w:line="240" w:lineRule="auto"/>
        <w:ind w:firstLine="720"/>
        <w:jc w:val="both"/>
        <w:rPr>
          <w:rFonts w:ascii="Bookman Old Style" w:hAnsi="Bookman Old Style"/>
          <w:sz w:val="24"/>
        </w:rPr>
      </w:pP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(a) </w:t>
      </w:r>
      <w:proofErr w:type="gramStart"/>
      <w:r w:rsidRPr="00587B1E">
        <w:rPr>
          <w:rFonts w:ascii="Bookman Old Style" w:hAnsi="Bookman Old Style"/>
          <w:sz w:val="24"/>
        </w:rPr>
        <w:t>any</w:t>
      </w:r>
      <w:proofErr w:type="gramEnd"/>
      <w:r w:rsidRPr="00587B1E">
        <w:rPr>
          <w:rFonts w:ascii="Bookman Old Style" w:hAnsi="Bookman Old Style"/>
          <w:sz w:val="24"/>
        </w:rPr>
        <w:t xml:space="preserve"> qualifications required for the arbitrator by the agreement of the parties; and</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(b) </w:t>
      </w:r>
      <w:proofErr w:type="gramStart"/>
      <w:r w:rsidRPr="00587B1E">
        <w:rPr>
          <w:rFonts w:ascii="Bookman Old Style" w:hAnsi="Bookman Old Style"/>
          <w:sz w:val="24"/>
        </w:rPr>
        <w:t>the</w:t>
      </w:r>
      <w:proofErr w:type="gramEnd"/>
      <w:r w:rsidRPr="00587B1E">
        <w:rPr>
          <w:rFonts w:ascii="Bookman Old Style" w:hAnsi="Bookman Old Style"/>
          <w:sz w:val="24"/>
        </w:rPr>
        <w:t xml:space="preserve"> contents of the disclosure and other considerations as are likely to secure the appointment of an independent and impartial arbitrator.” (</w:t>
      </w:r>
      <w:proofErr w:type="gramStart"/>
      <w:r w:rsidRPr="00587B1E">
        <w:rPr>
          <w:rFonts w:ascii="Bookman Old Style" w:hAnsi="Bookman Old Style"/>
          <w:sz w:val="24"/>
        </w:rPr>
        <w:t>emphasis</w:t>
      </w:r>
      <w:proofErr w:type="gramEnd"/>
      <w:r w:rsidRPr="00587B1E">
        <w:rPr>
          <w:rFonts w:ascii="Bookman Old Style" w:hAnsi="Bookman Old Style"/>
          <w:sz w:val="24"/>
        </w:rPr>
        <w:t xml:space="preserve"> supplied)</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12. Grounds for challenge. — (1) When a person is approached in connection with his possible appointment as an arbitrator, he shall disclose in writing any circumstances, —</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(a) such as the existence either direct or indirect, of any past or present relationship with or interest in any of the parties or in relation to the subject-matter in dispute, whether financial, business, professional or other kind, which is likely to give rise to justifiable doubts as to his independence or impartiality; and</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(b) </w:t>
      </w:r>
      <w:proofErr w:type="gramStart"/>
      <w:r w:rsidRPr="00587B1E">
        <w:rPr>
          <w:rFonts w:ascii="Bookman Old Style" w:hAnsi="Bookman Old Style"/>
          <w:sz w:val="24"/>
        </w:rPr>
        <w:t>which</w:t>
      </w:r>
      <w:proofErr w:type="gramEnd"/>
      <w:r w:rsidRPr="00587B1E">
        <w:rPr>
          <w:rFonts w:ascii="Bookman Old Style" w:hAnsi="Bookman Old Style"/>
          <w:sz w:val="24"/>
        </w:rPr>
        <w:t xml:space="preserve"> are likely to affect his ability to devote sufficient time to the arbitration and in particular his ability to complete the entire arbitration within a period of twelve months.</w:t>
      </w:r>
    </w:p>
    <w:p w:rsidR="008C3A22" w:rsidRPr="00587B1E" w:rsidRDefault="008C3A22" w:rsidP="008C3A22">
      <w:pPr>
        <w:spacing w:line="240" w:lineRule="auto"/>
        <w:ind w:left="720"/>
        <w:jc w:val="both"/>
        <w:rPr>
          <w:rFonts w:ascii="Bookman Old Style" w:hAnsi="Bookman Old Style"/>
          <w:sz w:val="24"/>
        </w:rPr>
      </w:pPr>
      <w:proofErr w:type="gramStart"/>
      <w:r w:rsidRPr="00587B1E">
        <w:rPr>
          <w:rFonts w:ascii="Bookman Old Style" w:hAnsi="Bookman Old Style"/>
          <w:sz w:val="24"/>
        </w:rPr>
        <w:t>Explanation 1.</w:t>
      </w:r>
      <w:proofErr w:type="gramEnd"/>
      <w:r w:rsidRPr="00587B1E">
        <w:rPr>
          <w:rFonts w:ascii="Bookman Old Style" w:hAnsi="Bookman Old Style"/>
          <w:sz w:val="24"/>
        </w:rPr>
        <w:t xml:space="preserve"> —The grounds stated in the Fifth Schedule shall guide in determining whether circumstances exist which give rise to justifiable doubts as to the independence or impartiality of an arbitrator.</w:t>
      </w:r>
    </w:p>
    <w:p w:rsidR="008C3A22" w:rsidRPr="00587B1E" w:rsidRDefault="008C3A22" w:rsidP="008C3A22">
      <w:pPr>
        <w:spacing w:line="240" w:lineRule="auto"/>
        <w:ind w:left="720"/>
        <w:jc w:val="both"/>
        <w:rPr>
          <w:rFonts w:ascii="Bookman Old Style" w:hAnsi="Bookman Old Style"/>
          <w:sz w:val="24"/>
        </w:rPr>
      </w:pPr>
      <w:proofErr w:type="gramStart"/>
      <w:r w:rsidRPr="00587B1E">
        <w:rPr>
          <w:rFonts w:ascii="Bookman Old Style" w:hAnsi="Bookman Old Style"/>
          <w:sz w:val="24"/>
        </w:rPr>
        <w:t>Explanation 2.</w:t>
      </w:r>
      <w:proofErr w:type="gramEnd"/>
      <w:r w:rsidRPr="00587B1E">
        <w:rPr>
          <w:rFonts w:ascii="Bookman Old Style" w:hAnsi="Bookman Old Style"/>
          <w:sz w:val="24"/>
        </w:rPr>
        <w:t xml:space="preserve"> —</w:t>
      </w:r>
      <w:proofErr w:type="gramStart"/>
      <w:r w:rsidRPr="00587B1E">
        <w:rPr>
          <w:rFonts w:ascii="Bookman Old Style" w:hAnsi="Bookman Old Style"/>
          <w:sz w:val="24"/>
        </w:rPr>
        <w:t>The</w:t>
      </w:r>
      <w:proofErr w:type="gramEnd"/>
      <w:r w:rsidRPr="00587B1E">
        <w:rPr>
          <w:rFonts w:ascii="Bookman Old Style" w:hAnsi="Bookman Old Style"/>
          <w:sz w:val="24"/>
        </w:rPr>
        <w:t xml:space="preserve"> disclosure shall be made by such person in the form specified in the Sixth Schedule.]</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(3) An arbitrator may be challenged only if—</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 xml:space="preserve">(a) </w:t>
      </w:r>
      <w:proofErr w:type="gramStart"/>
      <w:r w:rsidRPr="00587B1E">
        <w:rPr>
          <w:rFonts w:ascii="Bookman Old Style" w:hAnsi="Bookman Old Style"/>
          <w:sz w:val="24"/>
        </w:rPr>
        <w:t>circumstances</w:t>
      </w:r>
      <w:proofErr w:type="gramEnd"/>
      <w:r w:rsidRPr="00587B1E">
        <w:rPr>
          <w:rFonts w:ascii="Bookman Old Style" w:hAnsi="Bookman Old Style"/>
          <w:sz w:val="24"/>
        </w:rPr>
        <w:t xml:space="preserve"> exist that give rise to justifiable doubts as to his independence or impartiality, or</w:t>
      </w:r>
    </w:p>
    <w:p w:rsidR="008C3A22" w:rsidRPr="00587B1E" w:rsidRDefault="008C3A22" w:rsidP="008C3A22">
      <w:pPr>
        <w:spacing w:line="240" w:lineRule="auto"/>
        <w:ind w:firstLine="720"/>
        <w:jc w:val="both"/>
        <w:rPr>
          <w:rFonts w:ascii="Bookman Old Style" w:hAnsi="Bookman Old Style"/>
          <w:sz w:val="24"/>
        </w:rPr>
      </w:pPr>
      <w:r w:rsidRPr="00587B1E">
        <w:rPr>
          <w:rFonts w:ascii="Bookman Old Style" w:hAnsi="Bookman Old Style"/>
          <w:sz w:val="24"/>
        </w:rPr>
        <w:t xml:space="preserve">(b) </w:t>
      </w:r>
      <w:proofErr w:type="gramStart"/>
      <w:r w:rsidRPr="00587B1E">
        <w:rPr>
          <w:rFonts w:ascii="Bookman Old Style" w:hAnsi="Bookman Old Style"/>
          <w:sz w:val="24"/>
        </w:rPr>
        <w:t>he</w:t>
      </w:r>
      <w:proofErr w:type="gramEnd"/>
      <w:r w:rsidRPr="00587B1E">
        <w:rPr>
          <w:rFonts w:ascii="Bookman Old Style" w:hAnsi="Bookman Old Style"/>
          <w:sz w:val="24"/>
        </w:rPr>
        <w:t xml:space="preserve"> does not possess the qualifications agreed to by the parties.</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lastRenderedPageBreak/>
        <w:t>(4) A party may challenge an arbitrator appointed by him, or in whose appointment he has participated, only for reasons of which he becomes aware after the appointment has been made.</w:t>
      </w:r>
    </w:p>
    <w:p w:rsidR="008C3A22" w:rsidRPr="00587B1E" w:rsidRDefault="008C3A22" w:rsidP="008C3A22">
      <w:pPr>
        <w:spacing w:line="240" w:lineRule="auto"/>
        <w:ind w:left="720"/>
        <w:jc w:val="both"/>
        <w:rPr>
          <w:rFonts w:ascii="Bookman Old Style" w:hAnsi="Bookman Old Style"/>
          <w:sz w:val="24"/>
        </w:rPr>
      </w:pPr>
      <w:r w:rsidRPr="00587B1E">
        <w:rPr>
          <w:rFonts w:ascii="Bookman Old Style" w:hAnsi="Bookman Old Style"/>
          <w:sz w:val="24"/>
        </w:rPr>
        <w:t>(5) Notwithstanding any prior agreement to the contrary, any person whose relationship, with the parties or counsel or the subject-matter of the dispute, falls under any of the categories specified in the Seventh Schedule shall be ineligible to be appointed as an arbitrator:</w:t>
      </w:r>
    </w:p>
    <w:p w:rsidR="008C3A22" w:rsidRDefault="008C3A22" w:rsidP="00120E83">
      <w:pPr>
        <w:spacing w:line="240" w:lineRule="auto"/>
        <w:ind w:left="720"/>
        <w:jc w:val="both"/>
        <w:rPr>
          <w:rFonts w:ascii="Bookman Old Style" w:hAnsi="Bookman Old Style"/>
          <w:sz w:val="24"/>
        </w:rPr>
      </w:pPr>
      <w:r w:rsidRPr="00587B1E">
        <w:rPr>
          <w:rFonts w:ascii="Bookman Old Style" w:hAnsi="Bookman Old Style"/>
          <w:sz w:val="24"/>
        </w:rPr>
        <w:t>Provided that parties may, subsequent to disputes having arisen between them, waive the applicability of this sub-section by an express agreement in writing.”</w:t>
      </w:r>
    </w:p>
    <w:p w:rsidR="00246AA9" w:rsidRPr="00587B1E" w:rsidRDefault="00246AA9" w:rsidP="00246AA9">
      <w:pPr>
        <w:spacing w:line="240" w:lineRule="auto"/>
        <w:jc w:val="both"/>
        <w:rPr>
          <w:rFonts w:ascii="Bookman Old Style" w:hAnsi="Bookman Old Style"/>
          <w:sz w:val="24"/>
        </w:rPr>
      </w:pP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5.</w:t>
      </w:r>
      <w:r>
        <w:rPr>
          <w:rFonts w:ascii="Bookman Old Style" w:hAnsi="Bookman Old Style"/>
          <w:sz w:val="24"/>
        </w:rPr>
        <w:tab/>
      </w:r>
      <w:r w:rsidR="00120E83">
        <w:rPr>
          <w:rFonts w:ascii="Bookman Old Style" w:hAnsi="Bookman Old Style"/>
          <w:sz w:val="24"/>
        </w:rPr>
        <w:t>F</w:t>
      </w:r>
      <w:r w:rsidR="00D23803">
        <w:rPr>
          <w:rFonts w:ascii="Bookman Old Style" w:hAnsi="Bookman Old Style"/>
          <w:sz w:val="24"/>
        </w:rPr>
        <w:t>rom a bare perusal of the said provisions</w:t>
      </w:r>
      <w:r w:rsidR="00120E83">
        <w:rPr>
          <w:rFonts w:ascii="Bookman Old Style" w:hAnsi="Bookman Old Style"/>
          <w:sz w:val="24"/>
        </w:rPr>
        <w:t xml:space="preserve"> it comes to</w:t>
      </w:r>
      <w:r w:rsidR="00D23803">
        <w:rPr>
          <w:rFonts w:ascii="Bookman Old Style" w:hAnsi="Bookman Old Style"/>
          <w:sz w:val="24"/>
        </w:rPr>
        <w:t xml:space="preserve"> </w:t>
      </w:r>
      <w:r w:rsidR="00120E83">
        <w:rPr>
          <w:rFonts w:ascii="Bookman Old Style" w:hAnsi="Bookman Old Style"/>
          <w:sz w:val="24"/>
        </w:rPr>
        <w:t xml:space="preserve">fore </w:t>
      </w:r>
      <w:r w:rsidR="00D23803">
        <w:rPr>
          <w:rFonts w:ascii="Bookman Old Style" w:hAnsi="Bookman Old Style"/>
          <w:sz w:val="24"/>
        </w:rPr>
        <w:t xml:space="preserve">that the parties have been given complete autonomy over the procedure for conducting the arbitration which includes the process of appointment of Arbitrator as well. </w:t>
      </w:r>
      <w:r w:rsidR="00120E83">
        <w:rPr>
          <w:rFonts w:ascii="Bookman Old Style" w:hAnsi="Bookman Old Style"/>
          <w:sz w:val="24"/>
        </w:rPr>
        <w:t xml:space="preserve">Thus the parties are bound by the procedure agreed upon in the commercial contracts for the appointment of an arbitrator and the role of the Courts, if construed in the spirit of the scheme of the Arbitration Act stands extremely narrowed and limited. That being said, it is also condign to point out that Section 12, the Fifth and the Seventh Schedule provide exhaustive grounds for disqualification of an arbitrator and thereby act as </w:t>
      </w:r>
      <w:r w:rsidR="002F63EE">
        <w:rPr>
          <w:rFonts w:ascii="Bookman Old Style" w:hAnsi="Bookman Old Style"/>
          <w:sz w:val="24"/>
        </w:rPr>
        <w:t xml:space="preserve">regulators to maintain the impartiality and independency of the arbitration. </w:t>
      </w:r>
    </w:p>
    <w:p w:rsidR="00587B1E" w:rsidRDefault="00246AA9" w:rsidP="00246AA9">
      <w:pPr>
        <w:spacing w:line="480" w:lineRule="auto"/>
        <w:jc w:val="both"/>
        <w:rPr>
          <w:rFonts w:ascii="Bookman Old Style" w:hAnsi="Bookman Old Style"/>
          <w:sz w:val="24"/>
        </w:rPr>
      </w:pPr>
      <w:r>
        <w:rPr>
          <w:rFonts w:ascii="Bookman Old Style" w:hAnsi="Bookman Old Style"/>
          <w:sz w:val="24"/>
        </w:rPr>
        <w:t>6.</w:t>
      </w:r>
      <w:r>
        <w:rPr>
          <w:rFonts w:ascii="Bookman Old Style" w:hAnsi="Bookman Old Style"/>
          <w:sz w:val="24"/>
        </w:rPr>
        <w:tab/>
      </w:r>
      <w:r w:rsidR="002F63EE">
        <w:rPr>
          <w:rFonts w:ascii="Bookman Old Style" w:hAnsi="Bookman Old Style"/>
          <w:sz w:val="24"/>
        </w:rPr>
        <w:t>T</w:t>
      </w:r>
      <w:r w:rsidR="00587B1E" w:rsidRPr="00587B1E">
        <w:rPr>
          <w:rFonts w:ascii="Bookman Old Style" w:hAnsi="Bookman Old Style"/>
          <w:sz w:val="24"/>
        </w:rPr>
        <w:t xml:space="preserve">he Supreme Court in </w:t>
      </w:r>
      <w:r w:rsidR="002F63EE">
        <w:rPr>
          <w:rFonts w:ascii="Bookman Old Style" w:hAnsi="Bookman Old Style"/>
          <w:sz w:val="24"/>
        </w:rPr>
        <w:t>the case</w:t>
      </w:r>
      <w:r w:rsidR="00587B1E" w:rsidRPr="00587B1E">
        <w:rPr>
          <w:rFonts w:ascii="Bookman Old Style" w:hAnsi="Bookman Old Style"/>
          <w:sz w:val="24"/>
        </w:rPr>
        <w:t xml:space="preserve"> of </w:t>
      </w:r>
      <w:r w:rsidR="00587B1E" w:rsidRPr="00246AA9">
        <w:rPr>
          <w:rFonts w:ascii="Bookman Old Style" w:hAnsi="Bookman Old Style"/>
          <w:b/>
          <w:i/>
          <w:sz w:val="24"/>
        </w:rPr>
        <w:t xml:space="preserve">Indian </w:t>
      </w:r>
      <w:r>
        <w:rPr>
          <w:rStyle w:val="FootnoteReference"/>
          <w:rFonts w:ascii="Bookman Old Style" w:hAnsi="Bookman Old Style"/>
          <w:b/>
          <w:i/>
          <w:sz w:val="24"/>
        </w:rPr>
        <w:footnoteReference w:id="2"/>
      </w:r>
      <w:r w:rsidR="00587B1E" w:rsidRPr="002F63EE">
        <w:rPr>
          <w:rFonts w:ascii="Bookman Old Style" w:hAnsi="Bookman Old Style"/>
          <w:b/>
          <w:i/>
          <w:sz w:val="24"/>
        </w:rPr>
        <w:t>Oil Corporati</w:t>
      </w:r>
      <w:r w:rsidR="002F63EE" w:rsidRPr="002F63EE">
        <w:rPr>
          <w:rFonts w:ascii="Bookman Old Style" w:hAnsi="Bookman Old Style"/>
          <w:b/>
          <w:i/>
          <w:sz w:val="24"/>
        </w:rPr>
        <w:t>on v. Raja Transport (P) Ltd.</w:t>
      </w:r>
      <w:r w:rsidR="00587B1E" w:rsidRPr="00587B1E">
        <w:rPr>
          <w:rFonts w:ascii="Bookman Old Style" w:hAnsi="Bookman Old Style"/>
          <w:sz w:val="24"/>
        </w:rPr>
        <w:t xml:space="preserve"> </w:t>
      </w:r>
      <w:r w:rsidR="002F63EE">
        <w:rPr>
          <w:rFonts w:ascii="Bookman Old Style" w:hAnsi="Bookman Old Style"/>
          <w:sz w:val="24"/>
        </w:rPr>
        <w:t xml:space="preserve">has carried out and in-depth analysis of the relevant provisions of the Act and held that the </w:t>
      </w:r>
      <w:r w:rsidR="00587B1E" w:rsidRPr="00587B1E">
        <w:rPr>
          <w:rFonts w:ascii="Bookman Old Style" w:hAnsi="Bookman Old Style"/>
          <w:sz w:val="24"/>
        </w:rPr>
        <w:t xml:space="preserve">Act per se does not bar </w:t>
      </w:r>
      <w:r w:rsidR="00587B1E" w:rsidRPr="00587B1E">
        <w:rPr>
          <w:rFonts w:ascii="Bookman Old Style" w:hAnsi="Bookman Old Style"/>
          <w:sz w:val="24"/>
        </w:rPr>
        <w:lastRenderedPageBreak/>
        <w:t>appointment of an employee of a party (Govt. or its instrumentalities) as a sole arbitrator especially where the named arbitrator is a senior officer of the Government/statutory body/Government company, and had nothing to do with exe</w:t>
      </w:r>
      <w:r w:rsidR="002F63EE">
        <w:rPr>
          <w:rFonts w:ascii="Bookman Old Style" w:hAnsi="Bookman Old Style"/>
          <w:sz w:val="24"/>
        </w:rPr>
        <w:t xml:space="preserve">cution of the subject contract. </w:t>
      </w:r>
      <w:r w:rsidR="00017EC2">
        <w:rPr>
          <w:rFonts w:ascii="Bookman Old Style" w:hAnsi="Bookman Old Style"/>
          <w:sz w:val="24"/>
        </w:rPr>
        <w:t>T</w:t>
      </w:r>
      <w:r w:rsidR="00587B1E" w:rsidRPr="00587B1E">
        <w:rPr>
          <w:rFonts w:ascii="Bookman Old Style" w:hAnsi="Bookman Old Style"/>
          <w:sz w:val="24"/>
        </w:rPr>
        <w:t xml:space="preserve">he Supreme Court </w:t>
      </w:r>
      <w:r w:rsidR="002F63EE">
        <w:rPr>
          <w:rFonts w:ascii="Bookman Old Style" w:hAnsi="Bookman Old Style"/>
          <w:sz w:val="24"/>
        </w:rPr>
        <w:t xml:space="preserve">further took the opportunity to point out that </w:t>
      </w:r>
      <w:r w:rsidR="00017EC2">
        <w:rPr>
          <w:rFonts w:ascii="Bookman Old Style" w:hAnsi="Bookman Old Style"/>
          <w:sz w:val="24"/>
        </w:rPr>
        <w:t xml:space="preserve">arbitrations conducted by employee-arbitrators affect the credibility of the process of arbitration as well as the final award passed. However, the Court refrained from proceeding on the analysis as the role of the Courts is limited to examine whether the </w:t>
      </w:r>
      <w:r w:rsidR="00587B1E" w:rsidRPr="00587B1E">
        <w:rPr>
          <w:rFonts w:ascii="Bookman Old Style" w:hAnsi="Bookman Old Style"/>
          <w:sz w:val="24"/>
        </w:rPr>
        <w:t xml:space="preserve">parties have </w:t>
      </w:r>
      <w:r w:rsidR="00017EC2">
        <w:rPr>
          <w:rFonts w:ascii="Bookman Old Style" w:hAnsi="Bookman Old Style"/>
          <w:sz w:val="24"/>
        </w:rPr>
        <w:t>adhered to the procedure agreed upon under the arbitration agreement. The law, therefore, as laid down in the case permitted one of the parties to appoint their own employee as the Sole arbitrates if the arbitration agreement stipulates so.</w:t>
      </w:r>
      <w:r w:rsidR="00017EC2" w:rsidRPr="00587B1E">
        <w:rPr>
          <w:rFonts w:ascii="Bookman Old Style" w:hAnsi="Bookman Old Style"/>
          <w:sz w:val="24"/>
        </w:rPr>
        <w:t xml:space="preserve"> </w:t>
      </w:r>
    </w:p>
    <w:p w:rsidR="00587B1E" w:rsidRDefault="00246AA9" w:rsidP="00246AA9">
      <w:pPr>
        <w:spacing w:line="480" w:lineRule="auto"/>
        <w:jc w:val="both"/>
        <w:rPr>
          <w:rFonts w:ascii="Bookman Old Style" w:hAnsi="Bookman Old Style"/>
          <w:sz w:val="24"/>
        </w:rPr>
      </w:pPr>
      <w:r>
        <w:rPr>
          <w:rFonts w:ascii="Bookman Old Style" w:hAnsi="Bookman Old Style"/>
          <w:sz w:val="24"/>
        </w:rPr>
        <w:t>7.</w:t>
      </w:r>
      <w:r>
        <w:rPr>
          <w:rFonts w:ascii="Bookman Old Style" w:hAnsi="Bookman Old Style"/>
          <w:sz w:val="24"/>
        </w:rPr>
        <w:tab/>
      </w:r>
      <w:r w:rsidR="00017EC2">
        <w:rPr>
          <w:rFonts w:ascii="Bookman Old Style" w:hAnsi="Bookman Old Style"/>
          <w:sz w:val="24"/>
        </w:rPr>
        <w:t xml:space="preserve">Even the Law Commission in its </w:t>
      </w:r>
      <w:r w:rsidR="00017EC2" w:rsidRPr="00017EC2">
        <w:rPr>
          <w:rFonts w:ascii="Bookman Old Style" w:hAnsi="Bookman Old Style"/>
          <w:sz w:val="24"/>
        </w:rPr>
        <w:t>246th Law Commission Report</w:t>
      </w:r>
      <w:r w:rsidR="00017EC2">
        <w:rPr>
          <w:rFonts w:ascii="Bookman Old Style" w:hAnsi="Bookman Old Style"/>
          <w:sz w:val="24"/>
        </w:rPr>
        <w:t xml:space="preserve"> which served as a basis for the 2015 Amendment </w:t>
      </w:r>
      <w:r w:rsidR="00D6477E">
        <w:rPr>
          <w:rFonts w:ascii="Bookman Old Style" w:hAnsi="Bookman Old Style"/>
          <w:sz w:val="24"/>
        </w:rPr>
        <w:t>of the Arbitration, while emphasizing on the importance of preserving the impartiality and independency of the arbitration proves did not place any bar on appointment of employee-arbitrators as sole arbitrator</w:t>
      </w:r>
      <w:r w:rsidR="00DF5822">
        <w:rPr>
          <w:rFonts w:ascii="Bookman Old Style" w:hAnsi="Bookman Old Style"/>
          <w:sz w:val="24"/>
        </w:rPr>
        <w:t xml:space="preserve"> by one of the parties.</w:t>
      </w:r>
    </w:p>
    <w:p w:rsidR="003E6003" w:rsidRDefault="00246AA9" w:rsidP="00246AA9">
      <w:pPr>
        <w:spacing w:line="480" w:lineRule="auto"/>
        <w:jc w:val="both"/>
        <w:rPr>
          <w:rFonts w:ascii="Bookman Old Style" w:hAnsi="Bookman Old Style"/>
          <w:sz w:val="24"/>
        </w:rPr>
      </w:pPr>
      <w:r>
        <w:rPr>
          <w:rFonts w:ascii="Bookman Old Style" w:hAnsi="Bookman Old Style"/>
          <w:sz w:val="24"/>
        </w:rPr>
        <w:t>8.</w:t>
      </w:r>
      <w:r>
        <w:rPr>
          <w:rFonts w:ascii="Bookman Old Style" w:hAnsi="Bookman Old Style"/>
          <w:sz w:val="24"/>
        </w:rPr>
        <w:tab/>
      </w:r>
      <w:r w:rsidR="00DF5822">
        <w:rPr>
          <w:rFonts w:ascii="Bookman Old Style" w:hAnsi="Bookman Old Style"/>
          <w:sz w:val="24"/>
        </w:rPr>
        <w:t xml:space="preserve">Before proceeding to conduct a critical analysis of the Perkins Judgment, it would be deemed appropriate, at this stage, to refer to the pronouncement of the Supreme Court in the case </w:t>
      </w:r>
      <w:r w:rsidR="00587B1E" w:rsidRPr="00587B1E">
        <w:rPr>
          <w:rFonts w:ascii="Bookman Old Style" w:hAnsi="Bookman Old Style"/>
          <w:sz w:val="24"/>
        </w:rPr>
        <w:t xml:space="preserve">of </w:t>
      </w:r>
      <w:r w:rsidR="00587B1E" w:rsidRPr="00DF5822">
        <w:rPr>
          <w:rFonts w:ascii="Bookman Old Style" w:hAnsi="Bookman Old Style"/>
          <w:b/>
          <w:i/>
          <w:sz w:val="24"/>
        </w:rPr>
        <w:t xml:space="preserve">TRF Limited v. </w:t>
      </w:r>
      <w:proofErr w:type="spellStart"/>
      <w:r w:rsidR="00587B1E" w:rsidRPr="00DF5822">
        <w:rPr>
          <w:rFonts w:ascii="Bookman Old Style" w:hAnsi="Bookman Old Style"/>
          <w:b/>
          <w:i/>
          <w:sz w:val="24"/>
        </w:rPr>
        <w:lastRenderedPageBreak/>
        <w:t>Energ</w:t>
      </w:r>
      <w:r w:rsidR="00DF5822">
        <w:rPr>
          <w:rFonts w:ascii="Bookman Old Style" w:hAnsi="Bookman Old Style"/>
          <w:b/>
          <w:i/>
          <w:sz w:val="24"/>
        </w:rPr>
        <w:t>o</w:t>
      </w:r>
      <w:proofErr w:type="spellEnd"/>
      <w:r w:rsidR="00DF5822">
        <w:rPr>
          <w:rFonts w:ascii="Bookman Old Style" w:hAnsi="Bookman Old Style"/>
          <w:b/>
          <w:i/>
          <w:sz w:val="24"/>
        </w:rPr>
        <w:t xml:space="preserve"> Engineering Projects Limited</w:t>
      </w:r>
      <w:r>
        <w:rPr>
          <w:rStyle w:val="FootnoteReference"/>
          <w:rFonts w:ascii="Bookman Old Style" w:hAnsi="Bookman Old Style"/>
          <w:b/>
          <w:i/>
          <w:sz w:val="24"/>
        </w:rPr>
        <w:footnoteReference w:id="3"/>
      </w:r>
      <w:r w:rsidR="00DF5822">
        <w:rPr>
          <w:rFonts w:ascii="Bookman Old Style" w:hAnsi="Bookman Old Style"/>
          <w:b/>
          <w:i/>
          <w:sz w:val="24"/>
        </w:rPr>
        <w:t xml:space="preserve"> </w:t>
      </w:r>
      <w:r w:rsidR="00DF5822">
        <w:rPr>
          <w:rFonts w:ascii="Bookman Old Style" w:hAnsi="Bookman Old Style"/>
          <w:sz w:val="24"/>
        </w:rPr>
        <w:t>(referred to as “</w:t>
      </w:r>
      <w:r w:rsidR="00587B1E" w:rsidRPr="00587B1E">
        <w:rPr>
          <w:rFonts w:ascii="Bookman Old Style" w:hAnsi="Bookman Old Style"/>
          <w:sz w:val="24"/>
        </w:rPr>
        <w:t>TRF judgment</w:t>
      </w:r>
      <w:r w:rsidR="00DF5822">
        <w:rPr>
          <w:rFonts w:ascii="Bookman Old Style" w:hAnsi="Bookman Old Style"/>
          <w:sz w:val="24"/>
        </w:rPr>
        <w:t xml:space="preserve"> hereinafter </w:t>
      </w:r>
      <w:r w:rsidR="00587B1E" w:rsidRPr="00587B1E">
        <w:rPr>
          <w:rFonts w:ascii="Bookman Old Style" w:hAnsi="Bookman Old Style"/>
          <w:sz w:val="24"/>
        </w:rPr>
        <w:t>)</w:t>
      </w:r>
      <w:r w:rsidR="00397E1C">
        <w:rPr>
          <w:rFonts w:ascii="Bookman Old Style" w:hAnsi="Bookman Old Style"/>
          <w:sz w:val="24"/>
        </w:rPr>
        <w:t xml:space="preserve">. The Court was called to consider the validity of an arbitral clause which stipulated </w:t>
      </w:r>
      <w:r w:rsidR="00587B1E" w:rsidRPr="00587B1E">
        <w:rPr>
          <w:rFonts w:ascii="Bookman Old Style" w:hAnsi="Bookman Old Style"/>
          <w:sz w:val="24"/>
        </w:rPr>
        <w:t xml:space="preserve">any difference or dispute between the parties shall be referred to </w:t>
      </w:r>
      <w:r w:rsidR="00397E1C">
        <w:rPr>
          <w:rFonts w:ascii="Bookman Old Style" w:hAnsi="Bookman Old Style"/>
          <w:sz w:val="24"/>
        </w:rPr>
        <w:t>‘</w:t>
      </w:r>
      <w:r w:rsidR="00587B1E" w:rsidRPr="00587B1E">
        <w:rPr>
          <w:rFonts w:ascii="Bookman Old Style" w:hAnsi="Bookman Old Style"/>
          <w:sz w:val="24"/>
        </w:rPr>
        <w:t>sole arbitration of Managing Director of buyer or his nominee</w:t>
      </w:r>
      <w:r w:rsidR="00397E1C">
        <w:rPr>
          <w:rFonts w:ascii="Bookman Old Style" w:hAnsi="Bookman Old Style"/>
          <w:sz w:val="24"/>
        </w:rPr>
        <w:t>’</w:t>
      </w:r>
      <w:r w:rsidR="00587B1E" w:rsidRPr="00587B1E">
        <w:rPr>
          <w:rFonts w:ascii="Bookman Old Style" w:hAnsi="Bookman Old Style"/>
          <w:sz w:val="24"/>
        </w:rPr>
        <w:t xml:space="preserve">. </w:t>
      </w:r>
    </w:p>
    <w:p w:rsidR="00587B1E" w:rsidRDefault="00246AA9" w:rsidP="00246AA9">
      <w:pPr>
        <w:spacing w:line="480" w:lineRule="auto"/>
        <w:jc w:val="both"/>
        <w:rPr>
          <w:rFonts w:ascii="Bookman Old Style" w:hAnsi="Bookman Old Style"/>
          <w:sz w:val="24"/>
        </w:rPr>
      </w:pPr>
      <w:r>
        <w:rPr>
          <w:rFonts w:ascii="Bookman Old Style" w:hAnsi="Bookman Old Style"/>
          <w:sz w:val="24"/>
        </w:rPr>
        <w:t>9.</w:t>
      </w:r>
      <w:r>
        <w:rPr>
          <w:rFonts w:ascii="Bookman Old Style" w:hAnsi="Bookman Old Style"/>
          <w:sz w:val="24"/>
        </w:rPr>
        <w:tab/>
      </w:r>
      <w:r w:rsidR="00587B1E" w:rsidRPr="00587B1E">
        <w:rPr>
          <w:rFonts w:ascii="Bookman Old Style" w:hAnsi="Bookman Old Style"/>
          <w:sz w:val="24"/>
        </w:rPr>
        <w:t xml:space="preserve">The Supreme Court </w:t>
      </w:r>
      <w:r w:rsidR="00397E1C">
        <w:rPr>
          <w:rFonts w:ascii="Bookman Old Style" w:hAnsi="Bookman Old Style"/>
          <w:sz w:val="24"/>
        </w:rPr>
        <w:t>tested the validity of the said clause on the touchstone of Section 12 as well as the Seventh S</w:t>
      </w:r>
      <w:r w:rsidR="006B521A">
        <w:rPr>
          <w:rFonts w:ascii="Bookman Old Style" w:hAnsi="Bookman Old Style"/>
          <w:sz w:val="24"/>
        </w:rPr>
        <w:t xml:space="preserve">chedule of the Arbitration Act and observed that </w:t>
      </w:r>
      <w:r w:rsidR="003E6003">
        <w:rPr>
          <w:rFonts w:ascii="Bookman Old Style" w:hAnsi="Bookman Old Style"/>
          <w:sz w:val="24"/>
        </w:rPr>
        <w:t xml:space="preserve">when </w:t>
      </w:r>
      <w:r w:rsidR="006B521A">
        <w:rPr>
          <w:rFonts w:ascii="Bookman Old Style" w:hAnsi="Bookman Old Style"/>
          <w:sz w:val="24"/>
        </w:rPr>
        <w:t xml:space="preserve">the Managing Director who was </w:t>
      </w:r>
      <w:r w:rsidR="003E6003">
        <w:rPr>
          <w:rFonts w:ascii="Bookman Old Style" w:hAnsi="Bookman Old Style"/>
          <w:sz w:val="24"/>
        </w:rPr>
        <w:t xml:space="preserve">nominated </w:t>
      </w:r>
      <w:r w:rsidR="006B521A">
        <w:rPr>
          <w:rFonts w:ascii="Bookman Old Style" w:hAnsi="Bookman Old Style"/>
          <w:sz w:val="24"/>
        </w:rPr>
        <w:t xml:space="preserve">the first choice as Sole Arbitrator </w:t>
      </w:r>
      <w:r w:rsidR="003E6003">
        <w:rPr>
          <w:rFonts w:ascii="Bookman Old Style" w:hAnsi="Bookman Old Style"/>
          <w:sz w:val="24"/>
        </w:rPr>
        <w:t>is her/himself disqualified and ineligible to act as an Arbitrator by virtue of Section 12(5) of the Act, then any nominee of such disqualified Arbitrator cannot be held to be valid nomination of an Arbitrator, even if the arbitration clause in the agreement stipulates otherwise. Thus</w:t>
      </w:r>
      <w:r w:rsidR="00D644AF">
        <w:rPr>
          <w:rFonts w:ascii="Bookman Old Style" w:hAnsi="Bookman Old Style"/>
          <w:sz w:val="24"/>
        </w:rPr>
        <w:t>,</w:t>
      </w:r>
      <w:r w:rsidR="003E6003">
        <w:rPr>
          <w:rFonts w:ascii="Bookman Old Style" w:hAnsi="Bookman Old Style"/>
          <w:sz w:val="24"/>
        </w:rPr>
        <w:t xml:space="preserve"> the Court held that a nominated arbitrator who has become </w:t>
      </w:r>
      <w:r w:rsidR="00D644AF">
        <w:rPr>
          <w:rFonts w:ascii="Bookman Old Style" w:hAnsi="Bookman Old Style"/>
          <w:sz w:val="24"/>
        </w:rPr>
        <w:t>ineligible cannot further make a valid nomination.</w:t>
      </w:r>
    </w:p>
    <w:p w:rsidR="00D644AF" w:rsidRPr="00587B1E" w:rsidRDefault="00246AA9" w:rsidP="00246AA9">
      <w:pPr>
        <w:spacing w:line="480" w:lineRule="auto"/>
        <w:jc w:val="both"/>
        <w:rPr>
          <w:rFonts w:ascii="Bookman Old Style" w:hAnsi="Bookman Old Style"/>
          <w:sz w:val="24"/>
        </w:rPr>
      </w:pPr>
      <w:r>
        <w:rPr>
          <w:rFonts w:ascii="Bookman Old Style" w:hAnsi="Bookman Old Style"/>
          <w:sz w:val="24"/>
        </w:rPr>
        <w:t>10.</w:t>
      </w:r>
      <w:r>
        <w:rPr>
          <w:rFonts w:ascii="Bookman Old Style" w:hAnsi="Bookman Old Style"/>
          <w:sz w:val="24"/>
        </w:rPr>
        <w:tab/>
      </w:r>
      <w:r w:rsidR="00D644AF">
        <w:rPr>
          <w:rFonts w:ascii="Bookman Old Style" w:hAnsi="Bookman Old Style"/>
          <w:sz w:val="24"/>
        </w:rPr>
        <w:t>It would be apt to note that the Court never dealt with the issue of validity of appointment of a sole employee-arbitrator by one of the parties.</w:t>
      </w: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11.</w:t>
      </w:r>
      <w:r>
        <w:rPr>
          <w:rFonts w:ascii="Bookman Old Style" w:hAnsi="Bookman Old Style"/>
          <w:sz w:val="24"/>
        </w:rPr>
        <w:tab/>
      </w:r>
      <w:r w:rsidR="00D644AF">
        <w:rPr>
          <w:rFonts w:ascii="Bookman Old Style" w:hAnsi="Bookman Old Style"/>
          <w:sz w:val="24"/>
        </w:rPr>
        <w:t>The law a</w:t>
      </w:r>
      <w:r w:rsidR="00E76529">
        <w:rPr>
          <w:rFonts w:ascii="Bookman Old Style" w:hAnsi="Bookman Old Style"/>
          <w:sz w:val="24"/>
        </w:rPr>
        <w:t>s</w:t>
      </w:r>
      <w:r w:rsidR="00D644AF">
        <w:rPr>
          <w:rFonts w:ascii="Bookman Old Style" w:hAnsi="Bookman Old Style"/>
          <w:sz w:val="24"/>
        </w:rPr>
        <w:t xml:space="preserve"> laid down in the TRF judgment has been discussed and relied upon by various High Courts</w:t>
      </w:r>
      <w:r w:rsidR="00E76529">
        <w:rPr>
          <w:rFonts w:ascii="Bookman Old Style" w:hAnsi="Bookman Old Style"/>
          <w:sz w:val="24"/>
        </w:rPr>
        <w:t xml:space="preserve"> and a reference of the decisions in </w:t>
      </w:r>
      <w:r w:rsidR="00E76529">
        <w:rPr>
          <w:rFonts w:ascii="Bookman Old Style" w:hAnsi="Bookman Old Style"/>
          <w:sz w:val="24"/>
        </w:rPr>
        <w:lastRenderedPageBreak/>
        <w:t>the said judgments would throw further light on the ratio laid down in the TRF judgment.</w:t>
      </w: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12.</w:t>
      </w:r>
      <w:r>
        <w:rPr>
          <w:rFonts w:ascii="Bookman Old Style" w:hAnsi="Bookman Old Style"/>
          <w:sz w:val="24"/>
        </w:rPr>
        <w:tab/>
      </w:r>
      <w:r w:rsidR="00587B1E" w:rsidRPr="00587B1E">
        <w:rPr>
          <w:rFonts w:ascii="Bookman Old Style" w:hAnsi="Bookman Old Style"/>
          <w:sz w:val="24"/>
        </w:rPr>
        <w:t xml:space="preserve">The High Court of Delhi in the case of </w:t>
      </w:r>
      <w:proofErr w:type="spellStart"/>
      <w:r w:rsidR="00587B1E" w:rsidRPr="005A7250">
        <w:rPr>
          <w:rFonts w:ascii="Bookman Old Style" w:hAnsi="Bookman Old Style"/>
          <w:b/>
          <w:i/>
          <w:sz w:val="24"/>
        </w:rPr>
        <w:t>Bhayana</w:t>
      </w:r>
      <w:proofErr w:type="spellEnd"/>
      <w:r w:rsidR="00587B1E" w:rsidRPr="005A7250">
        <w:rPr>
          <w:rFonts w:ascii="Bookman Old Style" w:hAnsi="Bookman Old Style"/>
          <w:b/>
          <w:i/>
          <w:sz w:val="24"/>
        </w:rPr>
        <w:t xml:space="preserve"> Builders Pvt. Ltd. v. Oriental Structural Engineers Pvt. Ltd. and </w:t>
      </w:r>
      <w:proofErr w:type="spellStart"/>
      <w:r w:rsidR="00587B1E" w:rsidRPr="005A7250">
        <w:rPr>
          <w:rFonts w:ascii="Bookman Old Style" w:hAnsi="Bookman Old Style"/>
          <w:b/>
          <w:i/>
          <w:sz w:val="24"/>
        </w:rPr>
        <w:t>Ors</w:t>
      </w:r>
      <w:proofErr w:type="spellEnd"/>
      <w:r w:rsidR="005A7250">
        <w:rPr>
          <w:rFonts w:ascii="Bookman Old Style" w:hAnsi="Bookman Old Style"/>
          <w:b/>
          <w:i/>
          <w:sz w:val="24"/>
        </w:rPr>
        <w:t>.</w:t>
      </w:r>
      <w:r w:rsidR="00A81F95">
        <w:rPr>
          <w:rStyle w:val="FootnoteReference"/>
          <w:rFonts w:ascii="Bookman Old Style" w:hAnsi="Bookman Old Style"/>
          <w:b/>
          <w:i/>
          <w:sz w:val="24"/>
        </w:rPr>
        <w:footnoteReference w:id="4"/>
      </w:r>
      <w:r w:rsidR="005A7250">
        <w:rPr>
          <w:rFonts w:ascii="Bookman Old Style" w:hAnsi="Bookman Old Style"/>
          <w:sz w:val="24"/>
        </w:rPr>
        <w:t xml:space="preserve"> </w:t>
      </w:r>
      <w:proofErr w:type="gramStart"/>
      <w:r w:rsidR="00C04A60">
        <w:rPr>
          <w:rFonts w:ascii="Bookman Old Style" w:hAnsi="Bookman Old Style"/>
          <w:sz w:val="24"/>
        </w:rPr>
        <w:t>in</w:t>
      </w:r>
      <w:proofErr w:type="gramEnd"/>
      <w:r w:rsidR="00C04A60">
        <w:rPr>
          <w:rFonts w:ascii="Bookman Old Style" w:hAnsi="Bookman Old Style"/>
          <w:sz w:val="24"/>
        </w:rPr>
        <w:t xml:space="preserve"> which the appointment of sole arbitrator by the Managing Director of the Respondent therein was challenged. The Court upheld the appointment and differentiated the facts of the said case with the facts in the </w:t>
      </w:r>
      <w:r w:rsidR="00C04A60" w:rsidRPr="00C04A60">
        <w:rPr>
          <w:rFonts w:ascii="Bookman Old Style" w:hAnsi="Bookman Old Style"/>
          <w:b/>
          <w:i/>
          <w:sz w:val="24"/>
        </w:rPr>
        <w:t>TRF judgment</w:t>
      </w:r>
      <w:r w:rsidR="00C04A60">
        <w:rPr>
          <w:rFonts w:ascii="Bookman Old Style" w:hAnsi="Bookman Old Style"/>
          <w:sz w:val="24"/>
        </w:rPr>
        <w:t xml:space="preserve"> case. The Court noted that in the case of </w:t>
      </w:r>
      <w:r w:rsidR="00C04A60" w:rsidRPr="00C04A60">
        <w:rPr>
          <w:rFonts w:ascii="Bookman Old Style" w:hAnsi="Bookman Old Style"/>
          <w:b/>
          <w:i/>
          <w:sz w:val="24"/>
        </w:rPr>
        <w:t xml:space="preserve">TRF </w:t>
      </w:r>
      <w:r w:rsidR="00C04A60">
        <w:rPr>
          <w:rFonts w:ascii="Bookman Old Style" w:hAnsi="Bookman Old Style"/>
          <w:b/>
          <w:i/>
          <w:sz w:val="24"/>
        </w:rPr>
        <w:t xml:space="preserve">judgment </w:t>
      </w:r>
      <w:r w:rsidR="00C04A60">
        <w:rPr>
          <w:rFonts w:ascii="Bookman Old Style" w:hAnsi="Bookman Old Style"/>
          <w:sz w:val="24"/>
        </w:rPr>
        <w:t>the Managing Director was himself nominated as the Sole Arbitrator and in the alternative he could nominate another as Sole Arbitrator in his place.</w:t>
      </w:r>
      <w:r w:rsidR="009A4A94">
        <w:rPr>
          <w:rFonts w:ascii="Bookman Old Style" w:hAnsi="Bookman Old Style"/>
          <w:sz w:val="24"/>
        </w:rPr>
        <w:t xml:space="preserve"> However in the case before the High Court of Delhi the Managing Director was not nominated as the Arbitrator but was only named as the appointing or nominating authority. </w:t>
      </w:r>
      <w:r w:rsidR="00F42658">
        <w:rPr>
          <w:rFonts w:ascii="Bookman Old Style" w:hAnsi="Bookman Old Style"/>
          <w:sz w:val="24"/>
        </w:rPr>
        <w:t xml:space="preserve">Thus the High Court held that the ratio in the TRF judgment could not be relied upon in the </w:t>
      </w:r>
      <w:proofErr w:type="spellStart"/>
      <w:r w:rsidR="00F42658">
        <w:rPr>
          <w:rFonts w:ascii="Bookman Old Style" w:hAnsi="Bookman Old Style"/>
          <w:b/>
          <w:i/>
          <w:sz w:val="24"/>
        </w:rPr>
        <w:t>Bahayana</w:t>
      </w:r>
      <w:proofErr w:type="spellEnd"/>
      <w:r w:rsidR="00F42658">
        <w:rPr>
          <w:rFonts w:ascii="Bookman Old Style" w:hAnsi="Bookman Old Style"/>
          <w:b/>
          <w:i/>
          <w:sz w:val="24"/>
        </w:rPr>
        <w:t xml:space="preserve"> Builders c</w:t>
      </w:r>
      <w:r w:rsidR="00F42658" w:rsidRPr="00F42658">
        <w:rPr>
          <w:rFonts w:ascii="Bookman Old Style" w:hAnsi="Bookman Old Style"/>
          <w:b/>
          <w:i/>
          <w:sz w:val="24"/>
        </w:rPr>
        <w:t>ase</w:t>
      </w:r>
      <w:r w:rsidR="00F42658">
        <w:rPr>
          <w:rFonts w:ascii="Bookman Old Style" w:hAnsi="Bookman Old Style"/>
          <w:sz w:val="24"/>
        </w:rPr>
        <w:t xml:space="preserve"> (supra) and further refused to invalidate arbitration clauses which stipulated the power of a single party involved in a dispute to appoint the sole arbitrator. </w:t>
      </w: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13.</w:t>
      </w:r>
      <w:r>
        <w:rPr>
          <w:rFonts w:ascii="Bookman Old Style" w:hAnsi="Bookman Old Style"/>
          <w:sz w:val="24"/>
        </w:rPr>
        <w:tab/>
      </w:r>
      <w:r w:rsidR="00F42658">
        <w:rPr>
          <w:rFonts w:ascii="Bookman Old Style" w:hAnsi="Bookman Old Style"/>
          <w:sz w:val="24"/>
        </w:rPr>
        <w:t xml:space="preserve">This view of the High Court of Delhi in the </w:t>
      </w:r>
      <w:proofErr w:type="spellStart"/>
      <w:r w:rsidR="00F42658" w:rsidRPr="00F42658">
        <w:rPr>
          <w:rFonts w:ascii="Bookman Old Style" w:hAnsi="Bookman Old Style"/>
          <w:b/>
          <w:i/>
          <w:sz w:val="24"/>
        </w:rPr>
        <w:t>Bhayana</w:t>
      </w:r>
      <w:proofErr w:type="spellEnd"/>
      <w:r w:rsidR="00F42658" w:rsidRPr="00F42658">
        <w:rPr>
          <w:rFonts w:ascii="Bookman Old Style" w:hAnsi="Bookman Old Style"/>
          <w:b/>
          <w:i/>
          <w:sz w:val="24"/>
        </w:rPr>
        <w:t xml:space="preserve"> Builders case</w:t>
      </w:r>
      <w:r w:rsidR="00F42658">
        <w:rPr>
          <w:rFonts w:ascii="Bookman Old Style" w:hAnsi="Bookman Old Style"/>
          <w:sz w:val="24"/>
        </w:rPr>
        <w:t xml:space="preserve"> (supra) has been reiterated in several other cases of the same Court as well as other High Courts. In this context, the decision of the </w:t>
      </w:r>
      <w:r w:rsidR="00587B1E" w:rsidRPr="00587B1E">
        <w:rPr>
          <w:rFonts w:ascii="Bookman Old Style" w:hAnsi="Bookman Old Style"/>
          <w:sz w:val="24"/>
        </w:rPr>
        <w:t xml:space="preserve">High </w:t>
      </w:r>
      <w:r w:rsidR="00587B1E" w:rsidRPr="00587B1E">
        <w:rPr>
          <w:rFonts w:ascii="Bookman Old Style" w:hAnsi="Bookman Old Style"/>
          <w:sz w:val="24"/>
        </w:rPr>
        <w:lastRenderedPageBreak/>
        <w:t xml:space="preserve">Court of Calcutta in </w:t>
      </w:r>
      <w:proofErr w:type="spellStart"/>
      <w:r w:rsidR="00A81F95">
        <w:rPr>
          <w:rFonts w:ascii="Bookman Old Style" w:hAnsi="Bookman Old Style"/>
          <w:b/>
          <w:i/>
          <w:sz w:val="24"/>
        </w:rPr>
        <w:t>Dib</w:t>
      </w:r>
      <w:r w:rsidR="00587B1E" w:rsidRPr="00F42658">
        <w:rPr>
          <w:rFonts w:ascii="Bookman Old Style" w:hAnsi="Bookman Old Style"/>
          <w:b/>
          <w:i/>
          <w:sz w:val="24"/>
        </w:rPr>
        <w:t>yendu</w:t>
      </w:r>
      <w:proofErr w:type="spellEnd"/>
      <w:r w:rsidR="00587B1E" w:rsidRPr="00F42658">
        <w:rPr>
          <w:rFonts w:ascii="Bookman Old Style" w:hAnsi="Bookman Old Style"/>
          <w:b/>
          <w:i/>
          <w:sz w:val="24"/>
        </w:rPr>
        <w:t xml:space="preserve"> Bose v. South Eastern Railway</w:t>
      </w:r>
      <w:r w:rsidR="00A81F95">
        <w:rPr>
          <w:rStyle w:val="FootnoteReference"/>
          <w:rFonts w:ascii="Bookman Old Style" w:hAnsi="Bookman Old Style"/>
          <w:b/>
          <w:i/>
          <w:sz w:val="24"/>
        </w:rPr>
        <w:footnoteReference w:id="5"/>
      </w:r>
      <w:r w:rsidR="00F42658">
        <w:rPr>
          <w:rFonts w:ascii="Bookman Old Style" w:hAnsi="Bookman Old Style"/>
          <w:sz w:val="24"/>
        </w:rPr>
        <w:t xml:space="preserve"> </w:t>
      </w:r>
      <w:r w:rsidR="00262418">
        <w:rPr>
          <w:rFonts w:ascii="Bookman Old Style" w:hAnsi="Bookman Old Style"/>
          <w:sz w:val="24"/>
        </w:rPr>
        <w:t xml:space="preserve">wherein again the </w:t>
      </w:r>
      <w:r w:rsidR="00587B1E" w:rsidRPr="00587B1E">
        <w:rPr>
          <w:rFonts w:ascii="Bookman Old Style" w:hAnsi="Bookman Old Style"/>
          <w:sz w:val="24"/>
        </w:rPr>
        <w:t xml:space="preserve">High Court </w:t>
      </w:r>
      <w:r w:rsidR="00262418">
        <w:rPr>
          <w:rFonts w:ascii="Bookman Old Style" w:hAnsi="Bookman Old Style"/>
          <w:sz w:val="24"/>
        </w:rPr>
        <w:t xml:space="preserve">was of the firm view that the disqualification of nomination by the Managing Director in the case of </w:t>
      </w:r>
      <w:r w:rsidR="00262418" w:rsidRPr="00262418">
        <w:rPr>
          <w:rFonts w:ascii="Bookman Old Style" w:hAnsi="Bookman Old Style"/>
          <w:b/>
          <w:i/>
          <w:sz w:val="24"/>
        </w:rPr>
        <w:t>TRF judgment</w:t>
      </w:r>
      <w:r w:rsidR="00262418">
        <w:rPr>
          <w:rFonts w:ascii="Bookman Old Style" w:hAnsi="Bookman Old Style"/>
          <w:sz w:val="24"/>
        </w:rPr>
        <w:t xml:space="preserve"> applied only in those situations where the Managing Director was at the nominee as Sole Arbitrator and in the alternative his nominee could act as a Sole Arbitrator.  The disqualification would not apply where the Managing Director has not been nominated as Sole Arbitrator but only as an appointing authority.</w:t>
      </w: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14.</w:t>
      </w:r>
      <w:r>
        <w:rPr>
          <w:rFonts w:ascii="Bookman Old Style" w:hAnsi="Bookman Old Style"/>
          <w:sz w:val="24"/>
        </w:rPr>
        <w:tab/>
      </w:r>
      <w:r w:rsidR="00262418">
        <w:rPr>
          <w:rFonts w:ascii="Bookman Old Style" w:hAnsi="Bookman Old Style"/>
          <w:sz w:val="24"/>
        </w:rPr>
        <w:t>Such a consistent view taken by various High Courts leads to the</w:t>
      </w:r>
      <w:r w:rsidR="005A2A1A">
        <w:rPr>
          <w:rFonts w:ascii="Bookman Old Style" w:hAnsi="Bookman Old Style"/>
          <w:sz w:val="24"/>
        </w:rPr>
        <w:t xml:space="preserve"> undeniable conclusion that the</w:t>
      </w:r>
      <w:r w:rsidR="00262418">
        <w:rPr>
          <w:rFonts w:ascii="Bookman Old Style" w:hAnsi="Bookman Old Style"/>
          <w:sz w:val="24"/>
        </w:rPr>
        <w:t xml:space="preserve"> appointment of a sole arbitrator by any one of the parties does not fall within the purview of disqualifications under Section 12(5) of the Arbitration Act. </w:t>
      </w:r>
    </w:p>
    <w:p w:rsidR="008D3B46" w:rsidRDefault="00246AA9" w:rsidP="00246AA9">
      <w:pPr>
        <w:spacing w:line="480" w:lineRule="auto"/>
        <w:jc w:val="both"/>
        <w:rPr>
          <w:rFonts w:ascii="Bookman Old Style" w:hAnsi="Bookman Old Style"/>
          <w:sz w:val="24"/>
        </w:rPr>
      </w:pPr>
      <w:r>
        <w:rPr>
          <w:rFonts w:ascii="Bookman Old Style" w:hAnsi="Bookman Old Style"/>
          <w:sz w:val="24"/>
        </w:rPr>
        <w:t>15.</w:t>
      </w:r>
      <w:r>
        <w:rPr>
          <w:rFonts w:ascii="Bookman Old Style" w:hAnsi="Bookman Old Style"/>
          <w:sz w:val="24"/>
        </w:rPr>
        <w:tab/>
      </w:r>
      <w:r w:rsidR="00645613">
        <w:rPr>
          <w:rFonts w:ascii="Bookman Old Style" w:hAnsi="Bookman Old Style"/>
          <w:sz w:val="24"/>
        </w:rPr>
        <w:t xml:space="preserve">In view of the aforesaid background, I shall now proceed to </w:t>
      </w:r>
      <w:r w:rsidR="008D3B46">
        <w:rPr>
          <w:rFonts w:ascii="Bookman Old Style" w:hAnsi="Bookman Old Style"/>
          <w:sz w:val="24"/>
        </w:rPr>
        <w:t xml:space="preserve">critically </w:t>
      </w:r>
      <w:r w:rsidR="00645613">
        <w:rPr>
          <w:rFonts w:ascii="Bookman Old Style" w:hAnsi="Bookman Old Style"/>
          <w:sz w:val="24"/>
        </w:rPr>
        <w:t xml:space="preserve">analyze the ratio in </w:t>
      </w:r>
      <w:r w:rsidR="00645613" w:rsidRPr="00645613">
        <w:rPr>
          <w:rFonts w:ascii="Bookman Old Style" w:hAnsi="Bookman Old Style"/>
          <w:b/>
          <w:i/>
          <w:sz w:val="24"/>
        </w:rPr>
        <w:t>Perkins Judgment</w:t>
      </w:r>
      <w:r w:rsidR="008D3B46">
        <w:rPr>
          <w:rFonts w:ascii="Bookman Old Style" w:hAnsi="Bookman Old Style"/>
          <w:sz w:val="24"/>
        </w:rPr>
        <w:t xml:space="preserve"> </w:t>
      </w:r>
      <w:r w:rsidR="00B546F2">
        <w:rPr>
          <w:rFonts w:ascii="Bookman Old Style" w:hAnsi="Bookman Old Style"/>
          <w:sz w:val="24"/>
        </w:rPr>
        <w:t xml:space="preserve">which can be classified </w:t>
      </w:r>
      <w:r w:rsidR="008D3B46">
        <w:rPr>
          <w:rFonts w:ascii="Bookman Old Style" w:hAnsi="Bookman Old Style"/>
          <w:sz w:val="24"/>
        </w:rPr>
        <w:t>under the following heads:</w:t>
      </w:r>
    </w:p>
    <w:p w:rsidR="008D3B46" w:rsidRPr="008D3B46" w:rsidRDefault="00246AA9" w:rsidP="00246AA9">
      <w:pPr>
        <w:spacing w:line="480" w:lineRule="auto"/>
        <w:ind w:left="720" w:hanging="720"/>
        <w:jc w:val="both"/>
        <w:rPr>
          <w:rFonts w:ascii="Bookman Old Style" w:hAnsi="Bookman Old Style"/>
          <w:b/>
          <w:i/>
          <w:sz w:val="24"/>
        </w:rPr>
      </w:pPr>
      <w:r>
        <w:rPr>
          <w:rFonts w:ascii="Bookman Old Style" w:hAnsi="Bookman Old Style"/>
          <w:b/>
          <w:i/>
          <w:sz w:val="24"/>
        </w:rPr>
        <w:t>(i)</w:t>
      </w:r>
      <w:r>
        <w:rPr>
          <w:rFonts w:ascii="Bookman Old Style" w:hAnsi="Bookman Old Style"/>
          <w:b/>
          <w:i/>
          <w:sz w:val="24"/>
        </w:rPr>
        <w:tab/>
      </w:r>
      <w:r w:rsidR="008D3B46">
        <w:rPr>
          <w:rFonts w:ascii="Bookman Old Style" w:hAnsi="Bookman Old Style"/>
          <w:b/>
          <w:i/>
          <w:sz w:val="24"/>
        </w:rPr>
        <w:t xml:space="preserve">Expanding the scope of </w:t>
      </w:r>
      <w:r w:rsidR="00B546F2">
        <w:rPr>
          <w:rFonts w:ascii="Bookman Old Style" w:hAnsi="Bookman Old Style"/>
          <w:b/>
          <w:i/>
          <w:sz w:val="24"/>
        </w:rPr>
        <w:t>the Arbitration Act</w:t>
      </w:r>
      <w:r w:rsidR="008D3B46">
        <w:rPr>
          <w:rFonts w:ascii="Bookman Old Style" w:hAnsi="Bookman Old Style"/>
          <w:b/>
          <w:i/>
          <w:sz w:val="24"/>
        </w:rPr>
        <w:t xml:space="preserve"> beyond </w:t>
      </w:r>
      <w:r w:rsidR="00346CDE">
        <w:rPr>
          <w:rFonts w:ascii="Bookman Old Style" w:hAnsi="Bookman Old Style"/>
          <w:b/>
          <w:i/>
          <w:sz w:val="24"/>
        </w:rPr>
        <w:t>the legislative intent</w:t>
      </w:r>
    </w:p>
    <w:p w:rsidR="00587B1E" w:rsidRDefault="00246AA9" w:rsidP="00246AA9">
      <w:pPr>
        <w:spacing w:line="480" w:lineRule="auto"/>
        <w:jc w:val="both"/>
        <w:rPr>
          <w:rFonts w:ascii="Bookman Old Style" w:hAnsi="Bookman Old Style"/>
          <w:sz w:val="24"/>
        </w:rPr>
      </w:pPr>
      <w:r>
        <w:rPr>
          <w:rFonts w:ascii="Bookman Old Style" w:hAnsi="Bookman Old Style"/>
          <w:sz w:val="24"/>
        </w:rPr>
        <w:t>16.</w:t>
      </w:r>
      <w:r>
        <w:rPr>
          <w:rFonts w:ascii="Bookman Old Style" w:hAnsi="Bookman Old Style"/>
          <w:sz w:val="24"/>
        </w:rPr>
        <w:tab/>
      </w:r>
      <w:r w:rsidR="00B546F2">
        <w:rPr>
          <w:rFonts w:ascii="Bookman Old Style" w:hAnsi="Bookman Old Style"/>
          <w:sz w:val="24"/>
        </w:rPr>
        <w:t xml:space="preserve">The Arbitration Act contains various provisions for ensuring impartiality and independency in the Arbitration process. </w:t>
      </w:r>
      <w:r w:rsidR="00EB731A">
        <w:rPr>
          <w:rFonts w:ascii="Bookman Old Style" w:hAnsi="Bookman Old Style"/>
          <w:sz w:val="24"/>
        </w:rPr>
        <w:t xml:space="preserve">All the provisions, whether individually read or collectively, are absolutely clear to the effect that the Act does not bar the appointment of sole arbitrators </w:t>
      </w:r>
      <w:r w:rsidR="00EB731A">
        <w:rPr>
          <w:rFonts w:ascii="Bookman Old Style" w:hAnsi="Bookman Old Style"/>
          <w:sz w:val="24"/>
        </w:rPr>
        <w:lastRenderedPageBreak/>
        <w:t>by one party to the dispute. In fact, the Amendment of 2015</w:t>
      </w:r>
      <w:r w:rsidR="00C17140">
        <w:rPr>
          <w:rFonts w:ascii="Bookman Old Style" w:hAnsi="Bookman Old Style"/>
          <w:sz w:val="24"/>
        </w:rPr>
        <w:t xml:space="preserve"> to the Arbitration Act</w:t>
      </w:r>
      <w:r w:rsidR="00EB731A">
        <w:rPr>
          <w:rFonts w:ascii="Bookman Old Style" w:hAnsi="Bookman Old Style"/>
          <w:sz w:val="24"/>
        </w:rPr>
        <w:t xml:space="preserve"> places several checks and balances in order to ensure that the essential ingredient of impartiality in such arbitrations, where the sole arbitrator has been appointed by one of the parties, remains intact.  </w:t>
      </w:r>
    </w:p>
    <w:p w:rsidR="00587B1E" w:rsidRPr="00587B1E" w:rsidRDefault="00246AA9" w:rsidP="00246AA9">
      <w:pPr>
        <w:spacing w:line="480" w:lineRule="auto"/>
        <w:jc w:val="both"/>
        <w:rPr>
          <w:rFonts w:ascii="Bookman Old Style" w:hAnsi="Bookman Old Style"/>
          <w:sz w:val="24"/>
        </w:rPr>
      </w:pPr>
      <w:r>
        <w:rPr>
          <w:rFonts w:ascii="Bookman Old Style" w:hAnsi="Bookman Old Style"/>
          <w:sz w:val="24"/>
        </w:rPr>
        <w:t>17.</w:t>
      </w:r>
      <w:r>
        <w:rPr>
          <w:rFonts w:ascii="Bookman Old Style" w:hAnsi="Bookman Old Style"/>
          <w:sz w:val="24"/>
        </w:rPr>
        <w:tab/>
      </w:r>
      <w:r w:rsidR="00EB731A">
        <w:rPr>
          <w:rFonts w:ascii="Bookman Old Style" w:hAnsi="Bookman Old Style"/>
          <w:sz w:val="24"/>
        </w:rPr>
        <w:t xml:space="preserve">Once the statute is explicitly clear on what is barred, the </w:t>
      </w:r>
      <w:r w:rsidR="00C17140">
        <w:rPr>
          <w:rFonts w:ascii="Bookman Old Style" w:hAnsi="Bookman Old Style"/>
          <w:sz w:val="24"/>
        </w:rPr>
        <w:t>Judiciary</w:t>
      </w:r>
      <w:r w:rsidR="00EB731A">
        <w:rPr>
          <w:rFonts w:ascii="Bookman Old Style" w:hAnsi="Bookman Old Style"/>
          <w:sz w:val="24"/>
        </w:rPr>
        <w:t xml:space="preserve"> cannot overstep its domain and expand the </w:t>
      </w:r>
      <w:r w:rsidR="00C17140">
        <w:rPr>
          <w:rFonts w:ascii="Bookman Old Style" w:hAnsi="Bookman Old Style"/>
          <w:sz w:val="24"/>
        </w:rPr>
        <w:t>scope of the legislation by making any implied inclusions which were never intended by the Legislature in the first place.</w:t>
      </w:r>
    </w:p>
    <w:p w:rsidR="00C17140" w:rsidRDefault="00246AA9" w:rsidP="00246AA9">
      <w:pPr>
        <w:spacing w:line="480" w:lineRule="auto"/>
        <w:jc w:val="both"/>
        <w:rPr>
          <w:rFonts w:ascii="Bookman Old Style" w:hAnsi="Bookman Old Style"/>
          <w:sz w:val="24"/>
        </w:rPr>
      </w:pPr>
      <w:r>
        <w:rPr>
          <w:rFonts w:ascii="Bookman Old Style" w:hAnsi="Bookman Old Style"/>
          <w:sz w:val="24"/>
        </w:rPr>
        <w:t>18.</w:t>
      </w:r>
      <w:r>
        <w:rPr>
          <w:rFonts w:ascii="Bookman Old Style" w:hAnsi="Bookman Old Style"/>
          <w:sz w:val="24"/>
        </w:rPr>
        <w:tab/>
      </w:r>
      <w:r w:rsidR="00587B1E" w:rsidRPr="00587B1E">
        <w:rPr>
          <w:rFonts w:ascii="Bookman Old Style" w:hAnsi="Bookman Old Style"/>
          <w:sz w:val="24"/>
        </w:rPr>
        <w:t>The Parliament has enacted and included every reasonable possibility which can possibly make a person ineligible due to conflict of interest to be appointed as an arbitrator</w:t>
      </w:r>
      <w:r w:rsidR="00C17140">
        <w:rPr>
          <w:rFonts w:ascii="Bookman Old Style" w:hAnsi="Bookman Old Style"/>
          <w:sz w:val="24"/>
        </w:rPr>
        <w:t xml:space="preserve">. Any new inclusion, as attempted by the Judiciary in the </w:t>
      </w:r>
      <w:r w:rsidR="00C17140" w:rsidRPr="00C17140">
        <w:rPr>
          <w:rFonts w:ascii="Bookman Old Style" w:hAnsi="Bookman Old Style"/>
          <w:b/>
          <w:i/>
          <w:sz w:val="24"/>
        </w:rPr>
        <w:t>Perkins Judgment</w:t>
      </w:r>
      <w:r w:rsidR="00C17140">
        <w:rPr>
          <w:rFonts w:ascii="Bookman Old Style" w:hAnsi="Bookman Old Style"/>
          <w:sz w:val="24"/>
        </w:rPr>
        <w:t xml:space="preserve">, can only be made by an Amendment to the Statute by the Parliament, and not by the Judiciary. </w:t>
      </w:r>
    </w:p>
    <w:p w:rsidR="00D646DB" w:rsidRPr="00D646DB" w:rsidRDefault="00246AA9" w:rsidP="00246AA9">
      <w:pPr>
        <w:spacing w:line="480" w:lineRule="auto"/>
        <w:jc w:val="both"/>
        <w:rPr>
          <w:rFonts w:ascii="Bookman Old Style" w:hAnsi="Bookman Old Style"/>
          <w:sz w:val="24"/>
        </w:rPr>
      </w:pPr>
      <w:r>
        <w:rPr>
          <w:rFonts w:ascii="Bookman Old Style" w:hAnsi="Bookman Old Style"/>
          <w:sz w:val="24"/>
        </w:rPr>
        <w:t>19.</w:t>
      </w:r>
      <w:r>
        <w:rPr>
          <w:rFonts w:ascii="Bookman Old Style" w:hAnsi="Bookman Old Style"/>
          <w:sz w:val="24"/>
        </w:rPr>
        <w:tab/>
      </w:r>
      <w:r w:rsidR="00C17140" w:rsidRPr="00587B1E">
        <w:rPr>
          <w:rFonts w:ascii="Bookman Old Style" w:hAnsi="Bookman Old Style"/>
          <w:sz w:val="24"/>
        </w:rPr>
        <w:t>It is a cardinal rule of the interpretation of statute that the Court is bound to interpret a provision according to the literal and plain meaning of the language used in the statute if no ambiguity exists. The Court cannot add, alter or modify the statute. It has been consistently held that the Court cannot be permitted to legislate in</w:t>
      </w:r>
      <w:r w:rsidR="00D646DB">
        <w:rPr>
          <w:rFonts w:ascii="Bookman Old Style" w:hAnsi="Bookman Old Style"/>
          <w:sz w:val="24"/>
        </w:rPr>
        <w:t xml:space="preserve"> the</w:t>
      </w:r>
      <w:r w:rsidR="00C17140" w:rsidRPr="00587B1E">
        <w:rPr>
          <w:rFonts w:ascii="Bookman Old Style" w:hAnsi="Bookman Old Style"/>
          <w:sz w:val="24"/>
        </w:rPr>
        <w:t xml:space="preserve"> garb of interpretation of </w:t>
      </w:r>
      <w:r w:rsidR="00C17140" w:rsidRPr="00587B1E">
        <w:rPr>
          <w:rFonts w:ascii="Bookman Old Style" w:hAnsi="Bookman Old Style"/>
          <w:sz w:val="24"/>
        </w:rPr>
        <w:lastRenderedPageBreak/>
        <w:t>the Statute.</w:t>
      </w:r>
      <w:r w:rsidR="00D646DB">
        <w:rPr>
          <w:rFonts w:ascii="Bookman Old Style" w:hAnsi="Bookman Old Style"/>
          <w:sz w:val="24"/>
        </w:rPr>
        <w:t xml:space="preserve"> </w:t>
      </w:r>
      <w:proofErr w:type="gramStart"/>
      <w:r w:rsidR="00D646DB">
        <w:rPr>
          <w:rFonts w:ascii="Bookman Old Style" w:hAnsi="Bookman Old Style"/>
          <w:sz w:val="24"/>
        </w:rPr>
        <w:t xml:space="preserve">To this effect, the observations made by the House of Lords in </w:t>
      </w:r>
      <w:proofErr w:type="spellStart"/>
      <w:r w:rsidR="00D646DB" w:rsidRPr="00D646DB">
        <w:rPr>
          <w:rFonts w:ascii="Bookman Old Style" w:hAnsi="Bookman Old Style"/>
          <w:b/>
          <w:i/>
          <w:sz w:val="24"/>
        </w:rPr>
        <w:t>Duport</w:t>
      </w:r>
      <w:proofErr w:type="spellEnd"/>
      <w:r w:rsidR="00D646DB" w:rsidRPr="00D646DB">
        <w:rPr>
          <w:rFonts w:ascii="Bookman Old Style" w:hAnsi="Bookman Old Style"/>
          <w:b/>
          <w:i/>
          <w:sz w:val="24"/>
        </w:rPr>
        <w:t xml:space="preserve"> Steels Ltd. v. Sirs.</w:t>
      </w:r>
      <w:proofErr w:type="gramEnd"/>
      <w:r w:rsidR="00D646DB" w:rsidRPr="00D646DB">
        <w:rPr>
          <w:b/>
          <w:i/>
          <w:vertAlign w:val="superscript"/>
        </w:rPr>
        <w:footnoteReference w:id="6"/>
      </w:r>
      <w:r w:rsidR="00D646DB" w:rsidRPr="00D646DB">
        <w:rPr>
          <w:rFonts w:ascii="Bookman Old Style" w:hAnsi="Bookman Old Style"/>
          <w:b/>
          <w:i/>
          <w:sz w:val="24"/>
        </w:rPr>
        <w:t xml:space="preserve"> </w:t>
      </w:r>
      <w:proofErr w:type="gramStart"/>
      <w:r w:rsidR="00D646DB">
        <w:rPr>
          <w:rFonts w:ascii="Bookman Old Style" w:hAnsi="Bookman Old Style"/>
          <w:sz w:val="24"/>
        </w:rPr>
        <w:t>are</w:t>
      </w:r>
      <w:proofErr w:type="gramEnd"/>
      <w:r w:rsidR="00D646DB">
        <w:rPr>
          <w:rFonts w:ascii="Bookman Old Style" w:hAnsi="Bookman Old Style"/>
          <w:sz w:val="24"/>
        </w:rPr>
        <w:t xml:space="preserve"> reproduced thus:</w:t>
      </w:r>
    </w:p>
    <w:p w:rsidR="00D646DB" w:rsidRDefault="00D646DB" w:rsidP="00D646DB">
      <w:pPr>
        <w:tabs>
          <w:tab w:val="left" w:pos="720"/>
        </w:tabs>
        <w:spacing w:line="240" w:lineRule="auto"/>
        <w:ind w:left="720" w:right="720"/>
        <w:jc w:val="both"/>
        <w:rPr>
          <w:rFonts w:ascii="Bookman Old Style" w:hAnsi="Bookman Old Style"/>
          <w:sz w:val="24"/>
        </w:rPr>
      </w:pPr>
      <w:r w:rsidRPr="00D646DB">
        <w:rPr>
          <w:rFonts w:ascii="Bookman Old Style" w:hAnsi="Bookman Old Style"/>
          <w:sz w:val="24"/>
        </w:rPr>
        <w:t>“…the role of the judiciary is confined to ascertaining from the words that Parliament has approved as expressing its intention what that intention was, and to giving effect to it. Where the meaning of the statutory words is plain and unambiguous it is not for the judges to invent fancied ambiguities as an excuse for failing to give effect to its plain meaning because they themselves consider that the consequences of doing so would be inexpedient, or even unjust or immoral”</w:t>
      </w:r>
    </w:p>
    <w:p w:rsidR="00D646DB" w:rsidRDefault="00D646DB" w:rsidP="00D646DB">
      <w:pPr>
        <w:tabs>
          <w:tab w:val="left" w:pos="720"/>
        </w:tabs>
        <w:spacing w:line="240" w:lineRule="auto"/>
        <w:ind w:left="720" w:right="720"/>
        <w:jc w:val="both"/>
        <w:rPr>
          <w:rFonts w:ascii="Bookman Old Style" w:hAnsi="Bookman Old Style"/>
          <w:sz w:val="24"/>
        </w:rPr>
      </w:pPr>
    </w:p>
    <w:p w:rsidR="00392804" w:rsidRDefault="00246AA9" w:rsidP="00392804">
      <w:pPr>
        <w:spacing w:line="480" w:lineRule="auto"/>
        <w:jc w:val="both"/>
        <w:rPr>
          <w:rFonts w:ascii="Bookman Old Style" w:hAnsi="Bookman Old Style"/>
          <w:b/>
          <w:i/>
          <w:sz w:val="24"/>
        </w:rPr>
      </w:pPr>
      <w:r>
        <w:rPr>
          <w:rFonts w:ascii="Bookman Old Style" w:hAnsi="Bookman Old Style"/>
          <w:b/>
          <w:i/>
          <w:sz w:val="24"/>
        </w:rPr>
        <w:t>(ii)</w:t>
      </w:r>
      <w:r>
        <w:rPr>
          <w:rFonts w:ascii="Bookman Old Style" w:hAnsi="Bookman Old Style"/>
          <w:b/>
          <w:i/>
          <w:sz w:val="24"/>
        </w:rPr>
        <w:tab/>
      </w:r>
      <w:r w:rsidR="00C17140" w:rsidRPr="008D3B46">
        <w:rPr>
          <w:rFonts w:ascii="Bookman Old Style" w:hAnsi="Bookman Old Style"/>
          <w:b/>
          <w:i/>
          <w:sz w:val="24"/>
        </w:rPr>
        <w:t>Incorrect</w:t>
      </w:r>
      <w:r w:rsidR="00392804">
        <w:rPr>
          <w:rFonts w:ascii="Bookman Old Style" w:hAnsi="Bookman Old Style"/>
          <w:b/>
          <w:i/>
          <w:sz w:val="24"/>
        </w:rPr>
        <w:t xml:space="preserve"> Interpretation and</w:t>
      </w:r>
      <w:r w:rsidR="00C17140" w:rsidRPr="008D3B46">
        <w:rPr>
          <w:rFonts w:ascii="Bookman Old Style" w:hAnsi="Bookman Old Style"/>
          <w:b/>
          <w:i/>
          <w:sz w:val="24"/>
        </w:rPr>
        <w:t xml:space="preserve"> </w:t>
      </w:r>
      <w:r w:rsidR="00392804">
        <w:rPr>
          <w:rFonts w:ascii="Bookman Old Style" w:hAnsi="Bookman Old Style"/>
          <w:b/>
          <w:i/>
          <w:sz w:val="24"/>
        </w:rPr>
        <w:t>Application</w:t>
      </w:r>
      <w:r w:rsidR="00C17140" w:rsidRPr="008D3B46">
        <w:rPr>
          <w:rFonts w:ascii="Bookman Old Style" w:hAnsi="Bookman Old Style"/>
          <w:b/>
          <w:i/>
          <w:sz w:val="24"/>
        </w:rPr>
        <w:t xml:space="preserve"> of the TRF Judgment</w:t>
      </w:r>
    </w:p>
    <w:p w:rsidR="00920665" w:rsidRDefault="00246AA9" w:rsidP="00246AA9">
      <w:pPr>
        <w:spacing w:line="480" w:lineRule="auto"/>
        <w:jc w:val="both"/>
        <w:rPr>
          <w:rFonts w:ascii="Bookman Old Style" w:hAnsi="Bookman Old Style"/>
          <w:sz w:val="24"/>
        </w:rPr>
      </w:pPr>
      <w:r>
        <w:rPr>
          <w:rFonts w:ascii="Bookman Old Style" w:hAnsi="Bookman Old Style"/>
          <w:sz w:val="24"/>
        </w:rPr>
        <w:t>20.</w:t>
      </w:r>
      <w:r>
        <w:rPr>
          <w:rFonts w:ascii="Bookman Old Style" w:hAnsi="Bookman Old Style"/>
          <w:sz w:val="24"/>
        </w:rPr>
        <w:tab/>
      </w:r>
      <w:r w:rsidR="00D646DB">
        <w:rPr>
          <w:rFonts w:ascii="Bookman Old Style" w:hAnsi="Bookman Old Style"/>
          <w:sz w:val="24"/>
        </w:rPr>
        <w:t xml:space="preserve">Another ground on which the </w:t>
      </w:r>
      <w:r w:rsidR="00392804" w:rsidRPr="00392804">
        <w:rPr>
          <w:rFonts w:ascii="Bookman Old Style" w:hAnsi="Bookman Old Style"/>
          <w:b/>
          <w:i/>
          <w:sz w:val="24"/>
        </w:rPr>
        <w:t>Perkins judgment</w:t>
      </w:r>
      <w:r w:rsidR="00392804">
        <w:rPr>
          <w:rFonts w:ascii="Bookman Old Style" w:hAnsi="Bookman Old Style"/>
          <w:sz w:val="24"/>
        </w:rPr>
        <w:t xml:space="preserve"> </w:t>
      </w:r>
      <w:r w:rsidR="00D646DB">
        <w:rPr>
          <w:rFonts w:ascii="Bookman Old Style" w:hAnsi="Bookman Old Style"/>
          <w:sz w:val="24"/>
        </w:rPr>
        <w:t>falls short of being legally valid and sound judgment is th</w:t>
      </w:r>
      <w:r w:rsidR="00862A67">
        <w:rPr>
          <w:rFonts w:ascii="Bookman Old Style" w:hAnsi="Bookman Old Style"/>
          <w:sz w:val="24"/>
        </w:rPr>
        <w:t xml:space="preserve">at the Court in </w:t>
      </w:r>
      <w:r w:rsidR="00862A67" w:rsidRPr="00862A67">
        <w:rPr>
          <w:rFonts w:ascii="Bookman Old Style" w:hAnsi="Bookman Old Style"/>
          <w:b/>
          <w:i/>
          <w:sz w:val="24"/>
        </w:rPr>
        <w:t>Perkins Judgment</w:t>
      </w:r>
      <w:r w:rsidR="00862A67">
        <w:rPr>
          <w:rFonts w:ascii="Bookman Old Style" w:hAnsi="Bookman Old Style"/>
          <w:sz w:val="24"/>
        </w:rPr>
        <w:t xml:space="preserve"> </w:t>
      </w:r>
      <w:r w:rsidR="00392804">
        <w:rPr>
          <w:rFonts w:ascii="Bookman Old Style" w:hAnsi="Bookman Old Style"/>
          <w:sz w:val="24"/>
        </w:rPr>
        <w:t xml:space="preserve">has wrongly interpreted and applied the </w:t>
      </w:r>
      <w:r w:rsidR="00392804" w:rsidRPr="00392804">
        <w:rPr>
          <w:rFonts w:ascii="Bookman Old Style" w:hAnsi="Bookman Old Style"/>
          <w:b/>
          <w:i/>
          <w:sz w:val="24"/>
        </w:rPr>
        <w:t>TRF judgment</w:t>
      </w:r>
      <w:r w:rsidR="00392804">
        <w:rPr>
          <w:rFonts w:ascii="Bookman Old Style" w:hAnsi="Bookman Old Style"/>
          <w:sz w:val="24"/>
        </w:rPr>
        <w:t xml:space="preserve">. </w:t>
      </w:r>
      <w:r w:rsidR="00862A67">
        <w:rPr>
          <w:rFonts w:ascii="Bookman Old Style" w:hAnsi="Bookman Old Style"/>
          <w:sz w:val="24"/>
        </w:rPr>
        <w:t xml:space="preserve">Despite recognizing </w:t>
      </w:r>
      <w:r w:rsidR="00920665">
        <w:rPr>
          <w:rFonts w:ascii="Bookman Old Style" w:hAnsi="Bookman Old Style"/>
          <w:sz w:val="24"/>
        </w:rPr>
        <w:t>the distinction between the facts in both</w:t>
      </w:r>
      <w:r w:rsidR="00862A67">
        <w:rPr>
          <w:rFonts w:ascii="Bookman Old Style" w:hAnsi="Bookman Old Style"/>
          <w:sz w:val="24"/>
        </w:rPr>
        <w:t xml:space="preserve"> the</w:t>
      </w:r>
      <w:r w:rsidR="00920665">
        <w:rPr>
          <w:rFonts w:ascii="Bookman Old Style" w:hAnsi="Bookman Old Style"/>
          <w:sz w:val="24"/>
        </w:rPr>
        <w:t xml:space="preserve"> cases, the Court </w:t>
      </w:r>
      <w:r w:rsidR="00862A67">
        <w:rPr>
          <w:rFonts w:ascii="Bookman Old Style" w:hAnsi="Bookman Old Style"/>
          <w:sz w:val="24"/>
        </w:rPr>
        <w:t xml:space="preserve">in </w:t>
      </w:r>
      <w:r w:rsidR="00862A67" w:rsidRPr="00392804">
        <w:rPr>
          <w:rFonts w:ascii="Bookman Old Style" w:hAnsi="Bookman Old Style"/>
          <w:b/>
          <w:i/>
          <w:sz w:val="24"/>
        </w:rPr>
        <w:t>Perkins judgment</w:t>
      </w:r>
      <w:r w:rsidR="00920665">
        <w:rPr>
          <w:rFonts w:ascii="Bookman Old Style" w:hAnsi="Bookman Old Style"/>
          <w:sz w:val="24"/>
        </w:rPr>
        <w:t xml:space="preserve"> </w:t>
      </w:r>
      <w:r w:rsidR="00862A67">
        <w:rPr>
          <w:rFonts w:ascii="Bookman Old Style" w:hAnsi="Bookman Old Style"/>
          <w:sz w:val="24"/>
        </w:rPr>
        <w:t>proceeded</w:t>
      </w:r>
      <w:r w:rsidR="00920665">
        <w:rPr>
          <w:rFonts w:ascii="Bookman Old Style" w:hAnsi="Bookman Old Style"/>
          <w:sz w:val="24"/>
        </w:rPr>
        <w:t xml:space="preserve">, under the garb of logical deduction, to expand the scope of the ratio in </w:t>
      </w:r>
      <w:r w:rsidR="00920665" w:rsidRPr="00920665">
        <w:rPr>
          <w:rFonts w:ascii="Bookman Old Style" w:hAnsi="Bookman Old Style"/>
          <w:b/>
          <w:i/>
          <w:sz w:val="24"/>
        </w:rPr>
        <w:t>TRF judgment</w:t>
      </w:r>
      <w:r w:rsidR="00920665">
        <w:rPr>
          <w:rFonts w:ascii="Bookman Old Style" w:hAnsi="Bookman Old Style"/>
          <w:sz w:val="24"/>
        </w:rPr>
        <w:t xml:space="preserve"> and modify it in </w:t>
      </w:r>
      <w:r w:rsidR="00862A67">
        <w:rPr>
          <w:rFonts w:ascii="Bookman Old Style" w:hAnsi="Bookman Old Style"/>
          <w:sz w:val="24"/>
        </w:rPr>
        <w:t xml:space="preserve">a </w:t>
      </w:r>
      <w:r w:rsidR="00920665">
        <w:rPr>
          <w:rFonts w:ascii="Bookman Old Style" w:hAnsi="Bookman Old Style"/>
          <w:sz w:val="24"/>
        </w:rPr>
        <w:t xml:space="preserve">manner to befit the facts in </w:t>
      </w:r>
      <w:r w:rsidR="00920665" w:rsidRPr="00920665">
        <w:rPr>
          <w:rFonts w:ascii="Bookman Old Style" w:hAnsi="Bookman Old Style"/>
          <w:b/>
          <w:i/>
          <w:sz w:val="24"/>
        </w:rPr>
        <w:t>Perkins Judgment.</w:t>
      </w:r>
      <w:r w:rsidR="00920665">
        <w:rPr>
          <w:rFonts w:ascii="Bookman Old Style" w:hAnsi="Bookman Old Style"/>
          <w:sz w:val="24"/>
        </w:rPr>
        <w:t xml:space="preserve"> To highlight this, I shall reproduce the relevant </w:t>
      </w:r>
      <w:proofErr w:type="spellStart"/>
      <w:r w:rsidR="00920665">
        <w:rPr>
          <w:rFonts w:ascii="Bookman Old Style" w:hAnsi="Bookman Old Style"/>
          <w:sz w:val="24"/>
        </w:rPr>
        <w:t>para</w:t>
      </w:r>
      <w:proofErr w:type="spellEnd"/>
      <w:r w:rsidR="00920665">
        <w:rPr>
          <w:rFonts w:ascii="Bookman Old Style" w:hAnsi="Bookman Old Style"/>
          <w:sz w:val="24"/>
        </w:rPr>
        <w:t xml:space="preserve"> of the Perkins Judgment as follows:</w:t>
      </w:r>
    </w:p>
    <w:p w:rsidR="00920665" w:rsidRDefault="00920665" w:rsidP="00920665">
      <w:pPr>
        <w:tabs>
          <w:tab w:val="left" w:pos="720"/>
        </w:tabs>
        <w:spacing w:line="240" w:lineRule="auto"/>
        <w:ind w:left="720" w:right="720"/>
        <w:jc w:val="both"/>
        <w:rPr>
          <w:rFonts w:ascii="Bookman Old Style" w:hAnsi="Bookman Old Style"/>
          <w:sz w:val="24"/>
          <w:u w:val="single"/>
        </w:rPr>
      </w:pPr>
      <w:r>
        <w:rPr>
          <w:rFonts w:ascii="Bookman Old Style" w:hAnsi="Bookman Old Style"/>
          <w:sz w:val="24"/>
        </w:rPr>
        <w:t>“</w:t>
      </w:r>
      <w:r w:rsidRPr="00920665">
        <w:rPr>
          <w:rFonts w:ascii="Bookman Old Style" w:hAnsi="Bookman Old Style"/>
          <w:sz w:val="24"/>
        </w:rPr>
        <w:t>We thus have two categories of cases. The first, similar to th</w:t>
      </w:r>
      <w:r>
        <w:rPr>
          <w:rFonts w:ascii="Bookman Old Style" w:hAnsi="Bookman Old Style"/>
          <w:sz w:val="24"/>
        </w:rPr>
        <w:t>e one dealt with in TRF Limited</w:t>
      </w:r>
      <w:r w:rsidRPr="00920665">
        <w:rPr>
          <w:rFonts w:ascii="Bookman Old Style" w:hAnsi="Bookman Old Style"/>
          <w:sz w:val="24"/>
        </w:rPr>
        <w:t xml:space="preserve"> where the Managing Director himself is named as an arbitrator with an additional power to appoint any other person as an arbitrator. In the second category, the Managing Director is not to act as an arbitrator himself but is empowered or </w:t>
      </w:r>
      <w:proofErr w:type="spellStart"/>
      <w:r w:rsidRPr="00920665">
        <w:rPr>
          <w:rFonts w:ascii="Bookman Old Style" w:hAnsi="Bookman Old Style"/>
          <w:sz w:val="24"/>
        </w:rPr>
        <w:t>authorised</w:t>
      </w:r>
      <w:proofErr w:type="spellEnd"/>
      <w:r w:rsidRPr="00920665">
        <w:rPr>
          <w:rFonts w:ascii="Bookman Old Style" w:hAnsi="Bookman Old Style"/>
          <w:sz w:val="24"/>
        </w:rPr>
        <w:t xml:space="preserve"> to appoint any other person of his choice or discretion as an arbitrator. If, in the first category of cases, the Managing Director was </w:t>
      </w:r>
      <w:r w:rsidRPr="00920665">
        <w:rPr>
          <w:rFonts w:ascii="Bookman Old Style" w:hAnsi="Bookman Old Style"/>
          <w:sz w:val="24"/>
        </w:rPr>
        <w:lastRenderedPageBreak/>
        <w:t xml:space="preserve">found incompetent, it was because of the interest that he would be said to be having in the outcome or result of the dispute. The element of invalidity would thus be directly relatable to and arise from the interest that he would be having in such outcome or decision. If that be the test, similar invalidity would always arise and spring even in the second category of cases. If the interest that he has in the outcome of the dispute, is taken to be the basis for the possibility of bias, it will always be present irrespective of whether the matter stands under the first or second category of cases. </w:t>
      </w:r>
      <w:r w:rsidRPr="00920665">
        <w:rPr>
          <w:rFonts w:ascii="Bookman Old Style" w:hAnsi="Bookman Old Style"/>
          <w:sz w:val="24"/>
          <w:u w:val="single"/>
        </w:rPr>
        <w:t>We are conscious that if such deduction is drawn from the decision of this Court in TRF Limited, all cases having clauses similar to that with which we are presently concerned, a party to the agreement would be disentitled to make any appointment of an Arbitrator on its own and it would always be available to argue that a party or an official or an authority having interest in the dispute would be disentitled to make appointment of an Arbitrator.</w:t>
      </w:r>
    </w:p>
    <w:p w:rsidR="00920665" w:rsidRPr="00920665" w:rsidRDefault="00920665" w:rsidP="00920665">
      <w:pPr>
        <w:tabs>
          <w:tab w:val="left" w:pos="720"/>
        </w:tabs>
        <w:spacing w:line="240" w:lineRule="auto"/>
        <w:ind w:left="720" w:right="720"/>
        <w:jc w:val="right"/>
      </w:pPr>
    </w:p>
    <w:p w:rsidR="00920665" w:rsidRDefault="00920665" w:rsidP="00920665">
      <w:pPr>
        <w:tabs>
          <w:tab w:val="left" w:pos="720"/>
        </w:tabs>
        <w:spacing w:line="240" w:lineRule="auto"/>
        <w:ind w:left="720" w:right="720"/>
        <w:jc w:val="both"/>
        <w:rPr>
          <w:rFonts w:ascii="Bookman Old Style" w:hAnsi="Bookman Old Style"/>
          <w:sz w:val="24"/>
        </w:rPr>
      </w:pPr>
      <w:r w:rsidRPr="00920665">
        <w:rPr>
          <w:rFonts w:ascii="Bookman Old Style" w:hAnsi="Bookman Old Style"/>
          <w:sz w:val="24"/>
        </w:rPr>
        <w:t xml:space="preserve"> 16. </w:t>
      </w:r>
      <w:r w:rsidRPr="00862A67">
        <w:rPr>
          <w:rFonts w:ascii="Bookman Old Style" w:hAnsi="Bookman Old Style"/>
          <w:sz w:val="24"/>
          <w:u w:val="single"/>
        </w:rPr>
        <w:t>But, in our view that has to be the logical deduction from TRF Limited</w:t>
      </w:r>
      <w:r>
        <w:rPr>
          <w:rFonts w:ascii="Bookman Old Style" w:hAnsi="Bookman Old Style"/>
          <w:sz w:val="24"/>
        </w:rPr>
        <w:t>…”</w:t>
      </w:r>
    </w:p>
    <w:p w:rsidR="00587B1E" w:rsidRPr="00587B1E" w:rsidRDefault="00920665" w:rsidP="00862A67">
      <w:pPr>
        <w:tabs>
          <w:tab w:val="left" w:pos="720"/>
        </w:tabs>
        <w:spacing w:line="240" w:lineRule="auto"/>
        <w:ind w:left="720" w:right="720"/>
        <w:jc w:val="right"/>
        <w:rPr>
          <w:rFonts w:ascii="Bookman Old Style" w:hAnsi="Bookman Old Style"/>
          <w:sz w:val="24"/>
        </w:rPr>
      </w:pPr>
      <w:r w:rsidRPr="00920665">
        <w:rPr>
          <w:rFonts w:ascii="Bookman Old Style" w:hAnsi="Bookman Old Style"/>
          <w:sz w:val="24"/>
        </w:rPr>
        <w:t>(Emphasis supplied)</w:t>
      </w:r>
    </w:p>
    <w:p w:rsidR="001562D9" w:rsidRDefault="00246AA9" w:rsidP="00246AA9">
      <w:pPr>
        <w:spacing w:line="480" w:lineRule="auto"/>
        <w:jc w:val="both"/>
        <w:rPr>
          <w:rFonts w:ascii="Bookman Old Style" w:hAnsi="Bookman Old Style"/>
          <w:sz w:val="24"/>
        </w:rPr>
      </w:pPr>
      <w:r>
        <w:rPr>
          <w:rFonts w:ascii="Bookman Old Style" w:hAnsi="Bookman Old Style"/>
          <w:sz w:val="24"/>
        </w:rPr>
        <w:t>21.</w:t>
      </w:r>
      <w:r>
        <w:rPr>
          <w:rFonts w:ascii="Bookman Old Style" w:hAnsi="Bookman Old Style"/>
          <w:sz w:val="24"/>
        </w:rPr>
        <w:tab/>
      </w:r>
      <w:r w:rsidR="00862A67">
        <w:rPr>
          <w:rFonts w:ascii="Bookman Old Style" w:hAnsi="Bookman Old Style"/>
          <w:sz w:val="24"/>
        </w:rPr>
        <w:t>From the said observations it becomes amply clear that the facts in both case</w:t>
      </w:r>
      <w:r w:rsidR="001562D9">
        <w:rPr>
          <w:rFonts w:ascii="Bookman Old Style" w:hAnsi="Bookman Old Style"/>
          <w:sz w:val="24"/>
        </w:rPr>
        <w:t>s</w:t>
      </w:r>
      <w:r w:rsidR="00862A67">
        <w:rPr>
          <w:rFonts w:ascii="Bookman Old Style" w:hAnsi="Bookman Old Style"/>
          <w:sz w:val="24"/>
        </w:rPr>
        <w:t xml:space="preserve"> differ starkly from one another and the Court itself has made a conscious reference to the said fact. Having done, the Court in </w:t>
      </w:r>
      <w:r w:rsidR="00862A67" w:rsidRPr="00862A67">
        <w:rPr>
          <w:rFonts w:ascii="Bookman Old Style" w:hAnsi="Bookman Old Style"/>
          <w:b/>
          <w:i/>
          <w:sz w:val="24"/>
        </w:rPr>
        <w:t>Perkins judgment</w:t>
      </w:r>
      <w:r w:rsidR="00862A67">
        <w:rPr>
          <w:rFonts w:ascii="Bookman Old Style" w:hAnsi="Bookman Old Style"/>
          <w:sz w:val="24"/>
        </w:rPr>
        <w:t xml:space="preserve"> could not have proceeded on the faulty premise of logical deduction to apply the ratio of </w:t>
      </w:r>
      <w:r w:rsidR="00862A67" w:rsidRPr="00862A67">
        <w:rPr>
          <w:rFonts w:ascii="Bookman Old Style" w:hAnsi="Bookman Old Style"/>
          <w:b/>
          <w:i/>
          <w:sz w:val="24"/>
        </w:rPr>
        <w:t>TRF judgment</w:t>
      </w:r>
      <w:r w:rsidR="00862A67">
        <w:rPr>
          <w:rFonts w:ascii="Bookman Old Style" w:hAnsi="Bookman Old Style"/>
          <w:sz w:val="24"/>
        </w:rPr>
        <w:t xml:space="preserve"> to its own fact.</w:t>
      </w:r>
      <w:r w:rsidR="001562D9">
        <w:rPr>
          <w:rFonts w:ascii="Bookman Old Style" w:hAnsi="Bookman Old Style"/>
          <w:sz w:val="24"/>
        </w:rPr>
        <w:t xml:space="preserve"> The said principle has been recognized by the Supreme Court in </w:t>
      </w:r>
      <w:r>
        <w:rPr>
          <w:rFonts w:ascii="Bookman Old Style" w:hAnsi="Bookman Old Style"/>
          <w:b/>
          <w:i/>
          <w:sz w:val="24"/>
        </w:rPr>
        <w:t>Bhavnagar University v.</w:t>
      </w:r>
      <w:r w:rsidR="002B3513" w:rsidRPr="002B3513">
        <w:rPr>
          <w:rFonts w:ascii="Bookman Old Style" w:hAnsi="Bookman Old Style"/>
          <w:b/>
          <w:i/>
          <w:sz w:val="24"/>
        </w:rPr>
        <w:t xml:space="preserve"> </w:t>
      </w:r>
      <w:proofErr w:type="spellStart"/>
      <w:r w:rsidR="002B3513" w:rsidRPr="002B3513">
        <w:rPr>
          <w:rFonts w:ascii="Bookman Old Style" w:hAnsi="Bookman Old Style"/>
          <w:b/>
          <w:i/>
          <w:sz w:val="24"/>
        </w:rPr>
        <w:t>Palitana</w:t>
      </w:r>
      <w:proofErr w:type="spellEnd"/>
      <w:r w:rsidR="002B3513" w:rsidRPr="002B3513">
        <w:rPr>
          <w:rFonts w:ascii="Bookman Old Style" w:hAnsi="Bookman Old Style"/>
          <w:b/>
          <w:i/>
          <w:sz w:val="24"/>
        </w:rPr>
        <w:t xml:space="preserve"> Sugar Mill Pvt. Ltd. &amp; </w:t>
      </w:r>
      <w:proofErr w:type="spellStart"/>
      <w:r w:rsidR="002B3513" w:rsidRPr="002B3513">
        <w:rPr>
          <w:rFonts w:ascii="Bookman Old Style" w:hAnsi="Bookman Old Style"/>
          <w:b/>
          <w:i/>
          <w:sz w:val="24"/>
        </w:rPr>
        <w:t>Ors</w:t>
      </w:r>
      <w:proofErr w:type="spellEnd"/>
      <w:r w:rsidR="002B3513">
        <w:rPr>
          <w:rStyle w:val="FootnoteReference"/>
          <w:rFonts w:ascii="Bookman Old Style" w:hAnsi="Bookman Old Style"/>
          <w:b/>
          <w:i/>
          <w:sz w:val="24"/>
        </w:rPr>
        <w:footnoteReference w:id="7"/>
      </w:r>
      <w:r w:rsidR="001562D9">
        <w:rPr>
          <w:rFonts w:ascii="Bookman Old Style" w:hAnsi="Bookman Old Style"/>
          <w:sz w:val="24"/>
        </w:rPr>
        <w:t>, wherein it was observed:</w:t>
      </w:r>
    </w:p>
    <w:p w:rsidR="002B3513" w:rsidRDefault="002B3513" w:rsidP="002B3513">
      <w:pPr>
        <w:tabs>
          <w:tab w:val="left" w:pos="720"/>
        </w:tabs>
        <w:spacing w:line="240" w:lineRule="auto"/>
        <w:ind w:left="720" w:right="720"/>
        <w:jc w:val="both"/>
        <w:rPr>
          <w:rFonts w:ascii="Bookman Old Style" w:hAnsi="Bookman Old Style"/>
          <w:sz w:val="24"/>
        </w:rPr>
      </w:pPr>
      <w:r>
        <w:rPr>
          <w:rFonts w:ascii="Bookman Old Style" w:hAnsi="Bookman Old Style"/>
          <w:sz w:val="24"/>
        </w:rPr>
        <w:t>“</w:t>
      </w:r>
      <w:r w:rsidR="001562D9" w:rsidRPr="002B3513">
        <w:rPr>
          <w:rFonts w:ascii="Bookman Old Style" w:hAnsi="Bookman Old Style"/>
          <w:sz w:val="24"/>
        </w:rPr>
        <w:t xml:space="preserve">A decision, as is well-known, is an authority for which it is decided and not what can logically be deduced therefrom. It </w:t>
      </w:r>
      <w:r w:rsidR="001562D9" w:rsidRPr="002B3513">
        <w:rPr>
          <w:rFonts w:ascii="Bookman Old Style" w:hAnsi="Bookman Old Style"/>
          <w:sz w:val="24"/>
        </w:rPr>
        <w:lastRenderedPageBreak/>
        <w:t>is also well-settled that a little difference in facts or additional facts may make a lot of difference in the precedential value of a decision.</w:t>
      </w:r>
      <w:r>
        <w:rPr>
          <w:rFonts w:ascii="Bookman Old Style" w:hAnsi="Bookman Old Style"/>
          <w:sz w:val="24"/>
        </w:rPr>
        <w:t>”</w:t>
      </w:r>
    </w:p>
    <w:p w:rsidR="001562D9" w:rsidRDefault="001562D9" w:rsidP="002B3513">
      <w:pPr>
        <w:tabs>
          <w:tab w:val="left" w:pos="720"/>
        </w:tabs>
        <w:spacing w:line="240" w:lineRule="auto"/>
        <w:ind w:left="720" w:right="720"/>
        <w:jc w:val="both"/>
        <w:rPr>
          <w:rFonts w:ascii="Bookman Old Style" w:hAnsi="Bookman Old Style"/>
          <w:sz w:val="24"/>
        </w:rPr>
      </w:pPr>
      <w:r>
        <w:rPr>
          <w:rFonts w:ascii="Bookman Old Style" w:hAnsi="Bookman Old Style"/>
          <w:sz w:val="24"/>
        </w:rPr>
        <w:t xml:space="preserve"> </w:t>
      </w:r>
    </w:p>
    <w:p w:rsidR="001562D9" w:rsidRDefault="00246AA9" w:rsidP="00246AA9">
      <w:pPr>
        <w:spacing w:line="480" w:lineRule="auto"/>
        <w:jc w:val="both"/>
        <w:rPr>
          <w:rFonts w:ascii="Bookman Old Style" w:hAnsi="Bookman Old Style"/>
          <w:sz w:val="24"/>
        </w:rPr>
      </w:pPr>
      <w:r>
        <w:rPr>
          <w:rFonts w:ascii="Bookman Old Style" w:hAnsi="Bookman Old Style"/>
          <w:sz w:val="24"/>
        </w:rPr>
        <w:t>21.</w:t>
      </w:r>
      <w:r>
        <w:rPr>
          <w:rFonts w:ascii="Bookman Old Style" w:hAnsi="Bookman Old Style"/>
          <w:sz w:val="24"/>
        </w:rPr>
        <w:tab/>
      </w:r>
      <w:r w:rsidR="001562D9">
        <w:rPr>
          <w:rFonts w:ascii="Bookman Old Style" w:hAnsi="Bookman Old Style"/>
          <w:sz w:val="24"/>
        </w:rPr>
        <w:t>Further, s</w:t>
      </w:r>
      <w:r w:rsidR="002B3513">
        <w:rPr>
          <w:rFonts w:ascii="Bookman Old Style" w:hAnsi="Bookman Old Style"/>
          <w:sz w:val="24"/>
        </w:rPr>
        <w:t>uch</w:t>
      </w:r>
      <w:r w:rsidR="001562D9">
        <w:rPr>
          <w:rFonts w:ascii="Bookman Old Style" w:hAnsi="Bookman Old Style"/>
          <w:sz w:val="24"/>
        </w:rPr>
        <w:t xml:space="preserve"> judicial</w:t>
      </w:r>
      <w:r w:rsidR="00862A67">
        <w:rPr>
          <w:rFonts w:ascii="Bookman Old Style" w:hAnsi="Bookman Old Style"/>
          <w:sz w:val="24"/>
        </w:rPr>
        <w:t xml:space="preserve"> interpretation</w:t>
      </w:r>
      <w:r w:rsidR="002B3513">
        <w:rPr>
          <w:rFonts w:ascii="Bookman Old Style" w:hAnsi="Bookman Old Style"/>
          <w:sz w:val="24"/>
        </w:rPr>
        <w:t>s</w:t>
      </w:r>
      <w:r w:rsidR="00862A67">
        <w:rPr>
          <w:rFonts w:ascii="Bookman Old Style" w:hAnsi="Bookman Old Style"/>
          <w:sz w:val="24"/>
        </w:rPr>
        <w:t xml:space="preserve"> </w:t>
      </w:r>
      <w:r w:rsidR="001562D9">
        <w:rPr>
          <w:rFonts w:ascii="Bookman Old Style" w:hAnsi="Bookman Old Style"/>
          <w:sz w:val="24"/>
        </w:rPr>
        <w:t xml:space="preserve">based </w:t>
      </w:r>
      <w:r w:rsidR="002B3513">
        <w:rPr>
          <w:rFonts w:ascii="Bookman Old Style" w:hAnsi="Bookman Old Style"/>
          <w:sz w:val="24"/>
        </w:rPr>
        <w:t>on logical deduction of other decisions, become</w:t>
      </w:r>
      <w:r w:rsidR="00862A67">
        <w:rPr>
          <w:rFonts w:ascii="Bookman Old Style" w:hAnsi="Bookman Old Style"/>
          <w:sz w:val="24"/>
        </w:rPr>
        <w:t xml:space="preserve"> more vulnerable and susceptible </w:t>
      </w:r>
      <w:r w:rsidR="002B3513">
        <w:rPr>
          <w:rFonts w:ascii="Bookman Old Style" w:hAnsi="Bookman Old Style"/>
          <w:sz w:val="24"/>
        </w:rPr>
        <w:t xml:space="preserve">when they have </w:t>
      </w:r>
      <w:r w:rsidR="00862A67">
        <w:rPr>
          <w:rFonts w:ascii="Bookman Old Style" w:hAnsi="Bookman Old Style"/>
          <w:sz w:val="24"/>
        </w:rPr>
        <w:t xml:space="preserve">the effect of </w:t>
      </w:r>
      <w:r w:rsidR="001562D9">
        <w:rPr>
          <w:rFonts w:ascii="Bookman Old Style" w:hAnsi="Bookman Old Style"/>
          <w:sz w:val="24"/>
        </w:rPr>
        <w:t>transgressing into the domain of the legislative</w:t>
      </w:r>
      <w:r w:rsidR="002B3513">
        <w:rPr>
          <w:rFonts w:ascii="Bookman Old Style" w:hAnsi="Bookman Old Style"/>
          <w:sz w:val="24"/>
        </w:rPr>
        <w:t xml:space="preserve"> as in the case of </w:t>
      </w:r>
      <w:r w:rsidR="002B3513" w:rsidRPr="002B3513">
        <w:rPr>
          <w:rFonts w:ascii="Bookman Old Style" w:hAnsi="Bookman Old Style"/>
          <w:b/>
          <w:i/>
          <w:sz w:val="24"/>
        </w:rPr>
        <w:t>Perkins Judgment</w:t>
      </w:r>
      <w:r w:rsidR="00587B1E" w:rsidRPr="00587B1E">
        <w:rPr>
          <w:rFonts w:ascii="Bookman Old Style" w:hAnsi="Bookman Old Style"/>
          <w:sz w:val="24"/>
        </w:rPr>
        <w:t xml:space="preserve">. </w:t>
      </w:r>
    </w:p>
    <w:p w:rsidR="00E65DFB" w:rsidRDefault="00246AA9" w:rsidP="00246AA9">
      <w:pPr>
        <w:spacing w:line="480" w:lineRule="auto"/>
        <w:jc w:val="both"/>
        <w:rPr>
          <w:rFonts w:ascii="Bookman Old Style" w:hAnsi="Bookman Old Style"/>
          <w:sz w:val="24"/>
        </w:rPr>
      </w:pPr>
      <w:r>
        <w:rPr>
          <w:rFonts w:ascii="Bookman Old Style" w:hAnsi="Bookman Old Style"/>
          <w:sz w:val="24"/>
        </w:rPr>
        <w:t>22.</w:t>
      </w:r>
      <w:r>
        <w:rPr>
          <w:rFonts w:ascii="Bookman Old Style" w:hAnsi="Bookman Old Style"/>
          <w:sz w:val="24"/>
        </w:rPr>
        <w:tab/>
      </w:r>
      <w:r w:rsidR="00E72889">
        <w:rPr>
          <w:rFonts w:ascii="Bookman Old Style" w:hAnsi="Bookman Old Style"/>
          <w:sz w:val="24"/>
        </w:rPr>
        <w:t xml:space="preserve">When we speak of the interpretation of a judgment, one of the cardinal and well-recognized principles of interpretation of a judgment </w:t>
      </w:r>
      <w:r w:rsidR="00E65DFB">
        <w:rPr>
          <w:rFonts w:ascii="Bookman Old Style" w:hAnsi="Bookman Old Style"/>
          <w:sz w:val="24"/>
        </w:rPr>
        <w:t xml:space="preserve">is that a judgment cannot be read as a statute which the Court in </w:t>
      </w:r>
      <w:r w:rsidR="00E65DFB" w:rsidRPr="00E65DFB">
        <w:rPr>
          <w:rFonts w:ascii="Bookman Old Style" w:hAnsi="Bookman Old Style"/>
          <w:b/>
          <w:i/>
          <w:sz w:val="24"/>
        </w:rPr>
        <w:t>Perkins Judgment</w:t>
      </w:r>
      <w:r w:rsidR="00E65DFB">
        <w:rPr>
          <w:rFonts w:ascii="Bookman Old Style" w:hAnsi="Bookman Old Style"/>
          <w:sz w:val="24"/>
        </w:rPr>
        <w:t xml:space="preserve"> has completely forgone in its interpretation of the </w:t>
      </w:r>
      <w:r w:rsidR="00E65DFB">
        <w:rPr>
          <w:rFonts w:ascii="Bookman Old Style" w:hAnsi="Bookman Old Style"/>
          <w:b/>
          <w:i/>
          <w:sz w:val="24"/>
        </w:rPr>
        <w:t>TRF Judgment.</w:t>
      </w:r>
      <w:r w:rsidR="00E65DFB">
        <w:rPr>
          <w:rFonts w:ascii="Bookman Old Style" w:hAnsi="Bookman Old Style"/>
          <w:sz w:val="24"/>
        </w:rPr>
        <w:t xml:space="preserve"> </w:t>
      </w:r>
    </w:p>
    <w:p w:rsidR="00E65DFB" w:rsidRDefault="00246AA9" w:rsidP="00246AA9">
      <w:pPr>
        <w:spacing w:line="480" w:lineRule="auto"/>
        <w:jc w:val="both"/>
        <w:rPr>
          <w:rFonts w:ascii="Bookman Old Style" w:hAnsi="Bookman Old Style"/>
          <w:sz w:val="24"/>
        </w:rPr>
      </w:pPr>
      <w:r>
        <w:rPr>
          <w:rFonts w:ascii="Bookman Old Style" w:hAnsi="Bookman Old Style"/>
          <w:sz w:val="24"/>
        </w:rPr>
        <w:t>23.</w:t>
      </w:r>
      <w:r>
        <w:rPr>
          <w:rFonts w:ascii="Bookman Old Style" w:hAnsi="Bookman Old Style"/>
          <w:sz w:val="24"/>
        </w:rPr>
        <w:tab/>
      </w:r>
      <w:proofErr w:type="gramStart"/>
      <w:r w:rsidR="00E65DFB">
        <w:rPr>
          <w:rFonts w:ascii="Bookman Old Style" w:hAnsi="Bookman Old Style"/>
          <w:sz w:val="24"/>
        </w:rPr>
        <w:t>In</w:t>
      </w:r>
      <w:proofErr w:type="gramEnd"/>
      <w:r w:rsidR="00E65DFB">
        <w:rPr>
          <w:rFonts w:ascii="Bookman Old Style" w:hAnsi="Bookman Old Style"/>
          <w:sz w:val="24"/>
        </w:rPr>
        <w:t xml:space="preserve"> </w:t>
      </w:r>
      <w:r w:rsidR="000A0659" w:rsidRPr="00E65DFB">
        <w:rPr>
          <w:rFonts w:ascii="Bookman Old Style" w:hAnsi="Bookman Old Style"/>
          <w:b/>
          <w:i/>
          <w:sz w:val="24"/>
        </w:rPr>
        <w:t xml:space="preserve">Vishal N. </w:t>
      </w:r>
      <w:proofErr w:type="spellStart"/>
      <w:r w:rsidR="000A0659" w:rsidRPr="00E65DFB">
        <w:rPr>
          <w:rFonts w:ascii="Bookman Old Style" w:hAnsi="Bookman Old Style"/>
          <w:b/>
          <w:i/>
          <w:sz w:val="24"/>
        </w:rPr>
        <w:t>Kalsaria</w:t>
      </w:r>
      <w:proofErr w:type="spellEnd"/>
      <w:r w:rsidR="000A0659" w:rsidRPr="00E65DFB">
        <w:rPr>
          <w:rFonts w:ascii="Bookman Old Style" w:hAnsi="Bookman Old Style"/>
          <w:b/>
          <w:i/>
          <w:sz w:val="24"/>
        </w:rPr>
        <w:t xml:space="preserve"> vs. Bank of India and </w:t>
      </w:r>
      <w:proofErr w:type="spellStart"/>
      <w:r w:rsidR="000A0659" w:rsidRPr="00E65DFB">
        <w:rPr>
          <w:rFonts w:ascii="Bookman Old Style" w:hAnsi="Bookman Old Style"/>
          <w:b/>
          <w:i/>
          <w:sz w:val="24"/>
        </w:rPr>
        <w:t>Ors</w:t>
      </w:r>
      <w:proofErr w:type="spellEnd"/>
      <w:r w:rsidR="000A0659" w:rsidRPr="001562D9">
        <w:rPr>
          <w:rFonts w:ascii="Bookman Old Style" w:hAnsi="Bookman Old Style"/>
          <w:sz w:val="24"/>
        </w:rPr>
        <w:t>.</w:t>
      </w:r>
      <w:r w:rsidR="00E65DFB">
        <w:rPr>
          <w:rStyle w:val="FootnoteReference"/>
          <w:rFonts w:ascii="Bookman Old Style" w:hAnsi="Bookman Old Style"/>
          <w:sz w:val="24"/>
        </w:rPr>
        <w:footnoteReference w:id="8"/>
      </w:r>
      <w:r w:rsidR="000A0659" w:rsidRPr="001562D9">
        <w:rPr>
          <w:rFonts w:ascii="Bookman Old Style" w:hAnsi="Bookman Old Style"/>
          <w:sz w:val="24"/>
        </w:rPr>
        <w:t xml:space="preserve"> </w:t>
      </w:r>
      <w:proofErr w:type="gramStart"/>
      <w:r w:rsidR="00E65DFB">
        <w:rPr>
          <w:rFonts w:ascii="Bookman Old Style" w:hAnsi="Bookman Old Style"/>
          <w:sz w:val="24"/>
        </w:rPr>
        <w:t>the</w:t>
      </w:r>
      <w:proofErr w:type="gramEnd"/>
      <w:r w:rsidR="00E65DFB">
        <w:rPr>
          <w:rFonts w:ascii="Bookman Old Style" w:hAnsi="Bookman Old Style"/>
          <w:sz w:val="24"/>
        </w:rPr>
        <w:t xml:space="preserve"> Court observed that i</w:t>
      </w:r>
      <w:r w:rsidR="000A0659" w:rsidRPr="001562D9">
        <w:rPr>
          <w:rFonts w:ascii="Bookman Old Style" w:hAnsi="Bookman Old Style"/>
          <w:sz w:val="24"/>
        </w:rPr>
        <w:t>t is a well settled position of law that a judgment</w:t>
      </w:r>
      <w:r w:rsidR="000A0659">
        <w:rPr>
          <w:rFonts w:ascii="Bookman Old Style" w:hAnsi="Bookman Old Style"/>
          <w:sz w:val="24"/>
        </w:rPr>
        <w:t xml:space="preserve"> </w:t>
      </w:r>
      <w:r w:rsidR="000A0659" w:rsidRPr="001562D9">
        <w:rPr>
          <w:rFonts w:ascii="Bookman Old Style" w:hAnsi="Bookman Old Style"/>
          <w:sz w:val="24"/>
        </w:rPr>
        <w:t>cannot be read as a statute and interpreted and applied to fact situations.</w:t>
      </w:r>
      <w:r w:rsidR="000A0659">
        <w:rPr>
          <w:rFonts w:ascii="Bookman Old Style" w:hAnsi="Bookman Old Style"/>
          <w:sz w:val="24"/>
        </w:rPr>
        <w:t xml:space="preserve"> </w:t>
      </w:r>
    </w:p>
    <w:p w:rsidR="00E65DFB" w:rsidRDefault="00246AA9" w:rsidP="00246AA9">
      <w:pPr>
        <w:spacing w:line="480" w:lineRule="auto"/>
        <w:jc w:val="both"/>
        <w:rPr>
          <w:rFonts w:ascii="Bookman Old Style" w:hAnsi="Bookman Old Style"/>
          <w:sz w:val="24"/>
        </w:rPr>
      </w:pPr>
      <w:r>
        <w:rPr>
          <w:rFonts w:ascii="Bookman Old Style" w:hAnsi="Bookman Old Style"/>
          <w:sz w:val="24"/>
        </w:rPr>
        <w:t>24.</w:t>
      </w:r>
      <w:r>
        <w:rPr>
          <w:rFonts w:ascii="Bookman Old Style" w:hAnsi="Bookman Old Style"/>
          <w:sz w:val="24"/>
        </w:rPr>
        <w:tab/>
      </w:r>
      <w:r w:rsidR="00E65DFB">
        <w:rPr>
          <w:rFonts w:ascii="Bookman Old Style" w:hAnsi="Bookman Old Style"/>
          <w:sz w:val="24"/>
        </w:rPr>
        <w:t>Similarly in the case of</w:t>
      </w:r>
      <w:r w:rsidR="000A0659" w:rsidRPr="00E65DFB">
        <w:rPr>
          <w:rFonts w:ascii="Bookman Old Style" w:hAnsi="Bookman Old Style"/>
          <w:b/>
          <w:i/>
          <w:sz w:val="24"/>
        </w:rPr>
        <w:t xml:space="preserve"> J.I.K. Industries Ltd. and </w:t>
      </w:r>
      <w:proofErr w:type="spellStart"/>
      <w:r w:rsidR="000A0659" w:rsidRPr="00E65DFB">
        <w:rPr>
          <w:rFonts w:ascii="Bookman Old Style" w:hAnsi="Bookman Old Style"/>
          <w:b/>
          <w:i/>
          <w:sz w:val="24"/>
        </w:rPr>
        <w:t>Ors</w:t>
      </w:r>
      <w:proofErr w:type="spellEnd"/>
      <w:r w:rsidR="000A0659" w:rsidRPr="00E65DFB">
        <w:rPr>
          <w:rFonts w:ascii="Bookman Old Style" w:hAnsi="Bookman Old Style"/>
          <w:b/>
          <w:i/>
          <w:sz w:val="24"/>
        </w:rPr>
        <w:t xml:space="preserve">. </w:t>
      </w:r>
      <w:proofErr w:type="gramStart"/>
      <w:r w:rsidR="000A0659" w:rsidRPr="00E65DFB">
        <w:rPr>
          <w:rFonts w:ascii="Bookman Old Style" w:hAnsi="Bookman Old Style"/>
          <w:b/>
          <w:i/>
          <w:sz w:val="24"/>
        </w:rPr>
        <w:t>vs</w:t>
      </w:r>
      <w:proofErr w:type="gramEnd"/>
      <w:r w:rsidR="000A0659" w:rsidRPr="00E65DFB">
        <w:rPr>
          <w:rFonts w:ascii="Bookman Old Style" w:hAnsi="Bookman Old Style"/>
          <w:b/>
          <w:i/>
          <w:sz w:val="24"/>
        </w:rPr>
        <w:t xml:space="preserve">. </w:t>
      </w:r>
      <w:proofErr w:type="spellStart"/>
      <w:r w:rsidR="000A0659" w:rsidRPr="00E65DFB">
        <w:rPr>
          <w:rFonts w:ascii="Bookman Old Style" w:hAnsi="Bookman Old Style"/>
          <w:b/>
          <w:i/>
          <w:sz w:val="24"/>
        </w:rPr>
        <w:t>Amarlal</w:t>
      </w:r>
      <w:proofErr w:type="spellEnd"/>
      <w:r w:rsidR="000A0659" w:rsidRPr="00E65DFB">
        <w:rPr>
          <w:rFonts w:ascii="Bookman Old Style" w:hAnsi="Bookman Old Style"/>
          <w:b/>
          <w:i/>
          <w:sz w:val="24"/>
        </w:rPr>
        <w:t xml:space="preserve"> v. </w:t>
      </w:r>
      <w:proofErr w:type="spellStart"/>
      <w:r w:rsidR="000A0659" w:rsidRPr="00E65DFB">
        <w:rPr>
          <w:rFonts w:ascii="Bookman Old Style" w:hAnsi="Bookman Old Style"/>
          <w:b/>
          <w:i/>
          <w:sz w:val="24"/>
        </w:rPr>
        <w:t>Jumani</w:t>
      </w:r>
      <w:proofErr w:type="spellEnd"/>
      <w:r w:rsidR="000A0659" w:rsidRPr="00E65DFB">
        <w:rPr>
          <w:rFonts w:ascii="Bookman Old Style" w:hAnsi="Bookman Old Style"/>
          <w:b/>
          <w:i/>
          <w:sz w:val="24"/>
        </w:rPr>
        <w:t xml:space="preserve"> and </w:t>
      </w:r>
      <w:proofErr w:type="spellStart"/>
      <w:r w:rsidR="000A0659" w:rsidRPr="00E65DFB">
        <w:rPr>
          <w:rFonts w:ascii="Bookman Old Style" w:hAnsi="Bookman Old Style"/>
          <w:b/>
          <w:i/>
          <w:sz w:val="24"/>
        </w:rPr>
        <w:t>Ors</w:t>
      </w:r>
      <w:proofErr w:type="spellEnd"/>
      <w:r w:rsidR="000A0659" w:rsidRPr="00E65DFB">
        <w:rPr>
          <w:rFonts w:ascii="Bookman Old Style" w:hAnsi="Bookman Old Style"/>
          <w:b/>
          <w:i/>
          <w:sz w:val="24"/>
        </w:rPr>
        <w:t>.</w:t>
      </w:r>
      <w:r w:rsidR="00E65DFB">
        <w:rPr>
          <w:rStyle w:val="FootnoteReference"/>
          <w:rFonts w:ascii="Bookman Old Style" w:hAnsi="Bookman Old Style"/>
          <w:b/>
          <w:i/>
          <w:sz w:val="24"/>
        </w:rPr>
        <w:footnoteReference w:id="9"/>
      </w:r>
      <w:r w:rsidR="00E65DFB">
        <w:rPr>
          <w:rFonts w:ascii="Bookman Old Style" w:hAnsi="Bookman Old Style"/>
          <w:b/>
          <w:i/>
          <w:sz w:val="24"/>
        </w:rPr>
        <w:t xml:space="preserve"> </w:t>
      </w:r>
      <w:proofErr w:type="gramStart"/>
      <w:r w:rsidR="00E65DFB" w:rsidRPr="00E65DFB">
        <w:rPr>
          <w:rFonts w:ascii="Bookman Old Style" w:hAnsi="Bookman Old Style"/>
          <w:sz w:val="24"/>
        </w:rPr>
        <w:t>the</w:t>
      </w:r>
      <w:proofErr w:type="gramEnd"/>
      <w:r w:rsidR="00E65DFB">
        <w:rPr>
          <w:rFonts w:ascii="Bookman Old Style" w:hAnsi="Bookman Old Style"/>
          <w:sz w:val="24"/>
        </w:rPr>
        <w:t xml:space="preserve"> Court made the following observations:</w:t>
      </w:r>
    </w:p>
    <w:p w:rsidR="00E65DFB" w:rsidRDefault="00E65DFB" w:rsidP="00E65DFB">
      <w:pPr>
        <w:tabs>
          <w:tab w:val="left" w:pos="720"/>
        </w:tabs>
        <w:spacing w:line="240" w:lineRule="auto"/>
        <w:ind w:left="720" w:right="720"/>
        <w:jc w:val="both"/>
        <w:rPr>
          <w:rFonts w:ascii="Bookman Old Style" w:hAnsi="Bookman Old Style"/>
          <w:sz w:val="24"/>
        </w:rPr>
      </w:pPr>
      <w:r w:rsidRPr="00E65DFB">
        <w:rPr>
          <w:rFonts w:ascii="Bookman Old Style" w:hAnsi="Bookman Old Style"/>
          <w:sz w:val="24"/>
        </w:rPr>
        <w:t>“</w:t>
      </w:r>
      <w:r w:rsidR="000A0659" w:rsidRPr="001562D9">
        <w:rPr>
          <w:rFonts w:ascii="Bookman Old Style" w:hAnsi="Bookman Old Style"/>
          <w:sz w:val="24"/>
        </w:rPr>
        <w:t>It is well-settled that a judgment is always an authority for what it decides. It is</w:t>
      </w:r>
      <w:r w:rsidR="000A0659">
        <w:rPr>
          <w:rFonts w:ascii="Bookman Old Style" w:hAnsi="Bookman Old Style"/>
          <w:sz w:val="24"/>
        </w:rPr>
        <w:t xml:space="preserve"> </w:t>
      </w:r>
      <w:r w:rsidR="000A0659" w:rsidRPr="001562D9">
        <w:rPr>
          <w:rFonts w:ascii="Bookman Old Style" w:hAnsi="Bookman Old Style"/>
          <w:sz w:val="24"/>
        </w:rPr>
        <w:t>equally well-settled that a judgment cannot be read as a statute. It has to be</w:t>
      </w:r>
      <w:r w:rsidR="000A0659">
        <w:rPr>
          <w:rFonts w:ascii="Bookman Old Style" w:hAnsi="Bookman Old Style"/>
          <w:sz w:val="24"/>
        </w:rPr>
        <w:t xml:space="preserve"> </w:t>
      </w:r>
      <w:r w:rsidR="000A0659" w:rsidRPr="001562D9">
        <w:rPr>
          <w:rFonts w:ascii="Bookman Old Style" w:hAnsi="Bookman Old Style"/>
          <w:sz w:val="24"/>
        </w:rPr>
        <w:t>read in the context of the facts discussed in it.</w:t>
      </w:r>
      <w:r>
        <w:rPr>
          <w:rFonts w:ascii="Bookman Old Style" w:hAnsi="Bookman Old Style"/>
          <w:sz w:val="24"/>
        </w:rPr>
        <w:t>”</w:t>
      </w:r>
    </w:p>
    <w:p w:rsidR="00E65DFB" w:rsidRDefault="00E65DFB" w:rsidP="00E65DFB">
      <w:pPr>
        <w:tabs>
          <w:tab w:val="left" w:pos="720"/>
        </w:tabs>
        <w:spacing w:line="240" w:lineRule="auto"/>
        <w:ind w:left="720" w:right="720"/>
        <w:jc w:val="both"/>
        <w:rPr>
          <w:rFonts w:ascii="Bookman Old Style" w:hAnsi="Bookman Old Style"/>
          <w:sz w:val="24"/>
        </w:rPr>
      </w:pPr>
    </w:p>
    <w:p w:rsidR="009E4E62" w:rsidRDefault="00246AA9" w:rsidP="00246AA9">
      <w:pPr>
        <w:spacing w:line="480" w:lineRule="auto"/>
        <w:jc w:val="both"/>
        <w:rPr>
          <w:rFonts w:ascii="Bookman Old Style" w:hAnsi="Bookman Old Style"/>
          <w:sz w:val="24"/>
        </w:rPr>
      </w:pPr>
      <w:r>
        <w:rPr>
          <w:rFonts w:ascii="Bookman Old Style" w:hAnsi="Bookman Old Style"/>
          <w:sz w:val="24"/>
        </w:rPr>
        <w:t>25.</w:t>
      </w:r>
      <w:r>
        <w:rPr>
          <w:rFonts w:ascii="Bookman Old Style" w:hAnsi="Bookman Old Style"/>
          <w:sz w:val="24"/>
        </w:rPr>
        <w:tab/>
      </w:r>
      <w:r w:rsidR="00D453F9">
        <w:rPr>
          <w:rFonts w:ascii="Bookman Old Style" w:hAnsi="Bookman Old Style"/>
          <w:sz w:val="24"/>
        </w:rPr>
        <w:t>The</w:t>
      </w:r>
      <w:r w:rsidR="00E65DFB">
        <w:rPr>
          <w:rFonts w:ascii="Bookman Old Style" w:hAnsi="Bookman Old Style"/>
          <w:sz w:val="24"/>
        </w:rPr>
        <w:t xml:space="preserve"> said principle emphasizes that </w:t>
      </w:r>
      <w:r w:rsidR="00D453F9">
        <w:rPr>
          <w:rFonts w:ascii="Bookman Old Style" w:hAnsi="Bookman Old Style"/>
          <w:sz w:val="24"/>
        </w:rPr>
        <w:t>a judgment</w:t>
      </w:r>
      <w:r w:rsidR="00E65DFB">
        <w:rPr>
          <w:rFonts w:ascii="Bookman Old Style" w:hAnsi="Bookman Old Style"/>
          <w:sz w:val="24"/>
        </w:rPr>
        <w:t xml:space="preserve"> must</w:t>
      </w:r>
      <w:r w:rsidR="00D453F9">
        <w:rPr>
          <w:rFonts w:ascii="Bookman Old Style" w:hAnsi="Bookman Old Style"/>
          <w:sz w:val="24"/>
        </w:rPr>
        <w:t xml:space="preserve"> be construed having regard to the text and context in which the judgment was passed. The factual matrix and the issues involved in a judgment must be considered for the purpose of its interpretation. </w:t>
      </w:r>
      <w:r w:rsidR="009E4E62">
        <w:rPr>
          <w:rFonts w:ascii="Bookman Old Style" w:hAnsi="Bookman Old Style"/>
          <w:sz w:val="24"/>
        </w:rPr>
        <w:t xml:space="preserve">Further, a word or sentence or clause in a judgment cannot be read in isolation and the same has to be read in the context in which it is used. Further an interpretation, by which a clause or a sentence or word read in isolation is treated as exposition of law on a question  when, in fact, the question did not even fall to be answered in the judgment, falls foul to the well-established principles of interpretation of a judgment. Similar observations to this effect were made by the Supreme Court in </w:t>
      </w:r>
      <w:proofErr w:type="spellStart"/>
      <w:r w:rsidR="000A0659" w:rsidRPr="009E4E62">
        <w:rPr>
          <w:rFonts w:ascii="Bookman Old Style" w:hAnsi="Bookman Old Style"/>
          <w:b/>
          <w:i/>
          <w:sz w:val="24"/>
        </w:rPr>
        <w:t>Maharajadhiraja</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Madhav</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Rao</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Jivaji</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Rao</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Scindia</w:t>
      </w:r>
      <w:proofErr w:type="spellEnd"/>
      <w:r w:rsidR="000A0659" w:rsidRPr="009E4E62">
        <w:rPr>
          <w:rFonts w:ascii="Bookman Old Style" w:hAnsi="Bookman Old Style"/>
          <w:b/>
          <w:i/>
          <w:sz w:val="24"/>
        </w:rPr>
        <w:t xml:space="preserve"> </w:t>
      </w:r>
      <w:proofErr w:type="spellStart"/>
      <w:r w:rsidR="000A0659" w:rsidRPr="009E4E62">
        <w:rPr>
          <w:rFonts w:ascii="Bookman Old Style" w:hAnsi="Bookman Old Style"/>
          <w:b/>
          <w:i/>
          <w:sz w:val="24"/>
        </w:rPr>
        <w:t>Bahadur</w:t>
      </w:r>
      <w:proofErr w:type="spellEnd"/>
      <w:r w:rsidR="000A0659" w:rsidRPr="009E4E62">
        <w:rPr>
          <w:rFonts w:ascii="Bookman Old Style" w:hAnsi="Bookman Old Style"/>
          <w:b/>
          <w:i/>
          <w:sz w:val="24"/>
        </w:rPr>
        <w:t xml:space="preserve"> of Gwalior and </w:t>
      </w:r>
      <w:proofErr w:type="spellStart"/>
      <w:r w:rsidR="000A0659" w:rsidRPr="009E4E62">
        <w:rPr>
          <w:rFonts w:ascii="Bookman Old Style" w:hAnsi="Bookman Old Style"/>
          <w:b/>
          <w:i/>
          <w:sz w:val="24"/>
        </w:rPr>
        <w:t>Ors</w:t>
      </w:r>
      <w:proofErr w:type="spellEnd"/>
      <w:r w:rsidR="000A0659" w:rsidRPr="009E4E62">
        <w:rPr>
          <w:rFonts w:ascii="Bookman Old Style" w:hAnsi="Bookman Old Style"/>
          <w:b/>
          <w:i/>
          <w:sz w:val="24"/>
        </w:rPr>
        <w:t>. v. Union of</w:t>
      </w:r>
      <w:r w:rsidR="000A0659" w:rsidRPr="001562D9">
        <w:rPr>
          <w:rFonts w:ascii="Bookman Old Style" w:hAnsi="Bookman Old Style"/>
          <w:sz w:val="24"/>
        </w:rPr>
        <w:t xml:space="preserve"> </w:t>
      </w:r>
      <w:r w:rsidR="009E4E62" w:rsidRPr="009E4E62">
        <w:rPr>
          <w:rFonts w:ascii="Bookman Old Style" w:hAnsi="Bookman Old Style"/>
          <w:b/>
          <w:i/>
          <w:sz w:val="24"/>
        </w:rPr>
        <w:t>India</w:t>
      </w:r>
      <w:r w:rsidR="009E4E62">
        <w:rPr>
          <w:rStyle w:val="FootnoteReference"/>
          <w:rFonts w:ascii="Bookman Old Style" w:hAnsi="Bookman Old Style"/>
          <w:b/>
          <w:i/>
          <w:sz w:val="24"/>
        </w:rPr>
        <w:footnoteReference w:id="10"/>
      </w:r>
      <w:r w:rsidR="009E4E62">
        <w:rPr>
          <w:rFonts w:ascii="Bookman Old Style" w:hAnsi="Bookman Old Style"/>
          <w:sz w:val="24"/>
        </w:rPr>
        <w:t xml:space="preserve"> wherein it was stated:</w:t>
      </w:r>
    </w:p>
    <w:p w:rsidR="000A0659" w:rsidRDefault="009E4E62" w:rsidP="00004D1F">
      <w:pPr>
        <w:tabs>
          <w:tab w:val="left" w:pos="720"/>
        </w:tabs>
        <w:spacing w:line="240" w:lineRule="auto"/>
        <w:ind w:left="720" w:right="720"/>
        <w:jc w:val="both"/>
        <w:rPr>
          <w:rFonts w:ascii="Bookman Old Style" w:hAnsi="Bookman Old Style"/>
          <w:sz w:val="24"/>
        </w:rPr>
      </w:pPr>
      <w:r>
        <w:rPr>
          <w:rFonts w:ascii="Bookman Old Style" w:hAnsi="Bookman Old Style"/>
          <w:sz w:val="24"/>
        </w:rPr>
        <w:t>“</w:t>
      </w:r>
      <w:r w:rsidR="000A0659" w:rsidRPr="001562D9">
        <w:rPr>
          <w:rFonts w:ascii="Bookman Old Style" w:hAnsi="Bookman Old Style"/>
          <w:sz w:val="24"/>
        </w:rPr>
        <w:t>It is difficult to regard a word, a clause or a sentence occurring in a judgment</w:t>
      </w:r>
      <w:r w:rsidR="000A0659">
        <w:rPr>
          <w:rFonts w:ascii="Bookman Old Style" w:hAnsi="Bookman Old Style"/>
          <w:sz w:val="24"/>
        </w:rPr>
        <w:t xml:space="preserve"> </w:t>
      </w:r>
      <w:r w:rsidR="000A0659" w:rsidRPr="001562D9">
        <w:rPr>
          <w:rFonts w:ascii="Bookman Old Style" w:hAnsi="Bookman Old Style"/>
          <w:sz w:val="24"/>
        </w:rPr>
        <w:t>of this Court, divorced from its context, as containing a full exposition of the</w:t>
      </w:r>
      <w:r w:rsidR="000A0659">
        <w:rPr>
          <w:rFonts w:ascii="Bookman Old Style" w:hAnsi="Bookman Old Style"/>
          <w:sz w:val="24"/>
        </w:rPr>
        <w:t xml:space="preserve"> </w:t>
      </w:r>
      <w:r w:rsidR="000A0659" w:rsidRPr="001562D9">
        <w:rPr>
          <w:rFonts w:ascii="Bookman Old Style" w:hAnsi="Bookman Old Style"/>
          <w:sz w:val="24"/>
        </w:rPr>
        <w:t>law on a question when the question did not even fall to be answered in that</w:t>
      </w:r>
      <w:r w:rsidR="000A0659">
        <w:rPr>
          <w:rFonts w:ascii="Bookman Old Style" w:hAnsi="Bookman Old Style"/>
          <w:sz w:val="24"/>
        </w:rPr>
        <w:t xml:space="preserve"> </w:t>
      </w:r>
      <w:r w:rsidR="000A0659" w:rsidRPr="001562D9">
        <w:rPr>
          <w:rFonts w:ascii="Bookman Old Style" w:hAnsi="Bookman Old Style"/>
          <w:sz w:val="24"/>
        </w:rPr>
        <w:t>judgment.</w:t>
      </w:r>
      <w:r>
        <w:rPr>
          <w:rFonts w:ascii="Bookman Old Style" w:hAnsi="Bookman Old Style"/>
          <w:sz w:val="24"/>
        </w:rPr>
        <w:t>”</w:t>
      </w:r>
    </w:p>
    <w:p w:rsidR="00004D1F" w:rsidRDefault="00004D1F" w:rsidP="00004D1F">
      <w:pPr>
        <w:tabs>
          <w:tab w:val="left" w:pos="720"/>
        </w:tabs>
        <w:spacing w:line="240" w:lineRule="auto"/>
        <w:ind w:left="720" w:right="720"/>
        <w:jc w:val="both"/>
        <w:rPr>
          <w:rFonts w:ascii="Bookman Old Style" w:hAnsi="Bookman Old Style"/>
          <w:sz w:val="24"/>
        </w:rPr>
      </w:pPr>
    </w:p>
    <w:p w:rsidR="00587B1E" w:rsidRDefault="00246AA9" w:rsidP="00246AA9">
      <w:pPr>
        <w:spacing w:line="480" w:lineRule="auto"/>
        <w:jc w:val="both"/>
        <w:rPr>
          <w:rFonts w:ascii="Bookman Old Style" w:hAnsi="Bookman Old Style"/>
          <w:sz w:val="24"/>
        </w:rPr>
      </w:pPr>
      <w:r>
        <w:rPr>
          <w:rFonts w:ascii="Bookman Old Style" w:hAnsi="Bookman Old Style"/>
          <w:sz w:val="24"/>
        </w:rPr>
        <w:t>26.</w:t>
      </w:r>
      <w:r>
        <w:rPr>
          <w:rFonts w:ascii="Bookman Old Style" w:hAnsi="Bookman Old Style"/>
          <w:sz w:val="24"/>
        </w:rPr>
        <w:tab/>
      </w:r>
      <w:r w:rsidR="00587B1E" w:rsidRPr="00587B1E">
        <w:rPr>
          <w:rFonts w:ascii="Bookman Old Style" w:hAnsi="Bookman Old Style"/>
          <w:sz w:val="24"/>
        </w:rPr>
        <w:t xml:space="preserve">Hence, the reliance of the Supreme Court on the </w:t>
      </w:r>
      <w:r w:rsidR="00587B1E" w:rsidRPr="001562D9">
        <w:rPr>
          <w:rFonts w:ascii="Bookman Old Style" w:hAnsi="Bookman Old Style"/>
          <w:b/>
          <w:i/>
          <w:sz w:val="24"/>
        </w:rPr>
        <w:t>TRF judgment</w:t>
      </w:r>
      <w:r w:rsidR="00587B1E" w:rsidRPr="00587B1E">
        <w:rPr>
          <w:rFonts w:ascii="Bookman Old Style" w:hAnsi="Bookman Old Style"/>
          <w:sz w:val="24"/>
        </w:rPr>
        <w:t xml:space="preserve"> in the </w:t>
      </w:r>
      <w:r w:rsidR="00587B1E" w:rsidRPr="001562D9">
        <w:rPr>
          <w:rFonts w:ascii="Bookman Old Style" w:hAnsi="Bookman Old Style"/>
          <w:b/>
          <w:i/>
          <w:sz w:val="24"/>
        </w:rPr>
        <w:t>Perkins judgment</w:t>
      </w:r>
      <w:r w:rsidR="00587B1E" w:rsidRPr="00587B1E">
        <w:rPr>
          <w:rFonts w:ascii="Bookman Old Style" w:hAnsi="Bookman Old Style"/>
          <w:sz w:val="24"/>
        </w:rPr>
        <w:t xml:space="preserve"> and arriving at a conclusion by logically deducing from the </w:t>
      </w:r>
      <w:r w:rsidR="00587B1E" w:rsidRPr="001562D9">
        <w:rPr>
          <w:rFonts w:ascii="Bookman Old Style" w:hAnsi="Bookman Old Style"/>
          <w:b/>
          <w:i/>
          <w:sz w:val="24"/>
        </w:rPr>
        <w:t>TRF judgment</w:t>
      </w:r>
      <w:r w:rsidR="00587B1E" w:rsidRPr="00587B1E">
        <w:rPr>
          <w:rFonts w:ascii="Bookman Old Style" w:hAnsi="Bookman Old Style"/>
          <w:sz w:val="24"/>
        </w:rPr>
        <w:t xml:space="preserve">, something which was not provided under the </w:t>
      </w:r>
      <w:r w:rsidR="00587B1E" w:rsidRPr="00587B1E">
        <w:rPr>
          <w:rFonts w:ascii="Bookman Old Style" w:hAnsi="Bookman Old Style"/>
          <w:sz w:val="24"/>
        </w:rPr>
        <w:lastRenderedPageBreak/>
        <w:t>said judgment, is against the settled principles of law. Therefore, the Supreme Court committed a grave error of law and should reconsider.</w:t>
      </w:r>
    </w:p>
    <w:p w:rsidR="00D34197" w:rsidRDefault="00246AA9" w:rsidP="009A6D06">
      <w:pPr>
        <w:spacing w:line="480" w:lineRule="auto"/>
        <w:jc w:val="both"/>
        <w:rPr>
          <w:rFonts w:ascii="Bookman Old Style" w:hAnsi="Bookman Old Style"/>
          <w:b/>
          <w:i/>
          <w:sz w:val="24"/>
        </w:rPr>
      </w:pPr>
      <w:r>
        <w:rPr>
          <w:rFonts w:ascii="Bookman Old Style" w:hAnsi="Bookman Old Style"/>
          <w:b/>
          <w:i/>
          <w:sz w:val="24"/>
        </w:rPr>
        <w:t>(iii)</w:t>
      </w:r>
      <w:r>
        <w:rPr>
          <w:rFonts w:ascii="Bookman Old Style" w:hAnsi="Bookman Old Style"/>
          <w:b/>
          <w:i/>
          <w:sz w:val="24"/>
        </w:rPr>
        <w:tab/>
      </w:r>
      <w:r w:rsidR="009A6D06" w:rsidRPr="009A6D06">
        <w:rPr>
          <w:rFonts w:ascii="Bookman Old Style" w:hAnsi="Bookman Old Style"/>
          <w:b/>
          <w:i/>
          <w:sz w:val="24"/>
        </w:rPr>
        <w:t>Opening Floodgates to litigation</w:t>
      </w:r>
      <w:r w:rsidR="00E92858" w:rsidRPr="009A6D06">
        <w:rPr>
          <w:rFonts w:ascii="Bookman Old Style" w:hAnsi="Bookman Old Style"/>
          <w:b/>
          <w:i/>
          <w:sz w:val="24"/>
        </w:rPr>
        <w:t xml:space="preserve"> </w:t>
      </w:r>
    </w:p>
    <w:p w:rsidR="009A6D06" w:rsidRDefault="00246AA9" w:rsidP="009A6D06">
      <w:pPr>
        <w:spacing w:line="480" w:lineRule="auto"/>
        <w:jc w:val="both"/>
        <w:rPr>
          <w:rFonts w:ascii="Bookman Old Style" w:hAnsi="Bookman Old Style"/>
          <w:sz w:val="24"/>
        </w:rPr>
      </w:pPr>
      <w:r>
        <w:rPr>
          <w:rFonts w:ascii="Bookman Old Style" w:hAnsi="Bookman Old Style"/>
          <w:sz w:val="24"/>
        </w:rPr>
        <w:t>27.</w:t>
      </w:r>
      <w:r>
        <w:rPr>
          <w:rFonts w:ascii="Bookman Old Style" w:hAnsi="Bookman Old Style"/>
          <w:sz w:val="24"/>
        </w:rPr>
        <w:tab/>
      </w:r>
      <w:r w:rsidR="00926E3F" w:rsidRPr="00926E3F">
        <w:rPr>
          <w:rFonts w:ascii="Bookman Old Style" w:hAnsi="Bookman Old Style"/>
          <w:sz w:val="24"/>
        </w:rPr>
        <w:t>Apart</w:t>
      </w:r>
      <w:r w:rsidR="00926E3F">
        <w:rPr>
          <w:rFonts w:ascii="Bookman Old Style" w:hAnsi="Bookman Old Style"/>
          <w:b/>
          <w:i/>
          <w:sz w:val="24"/>
        </w:rPr>
        <w:t xml:space="preserve"> </w:t>
      </w:r>
      <w:r w:rsidR="00926E3F">
        <w:rPr>
          <w:rFonts w:ascii="Bookman Old Style" w:hAnsi="Bookman Old Style"/>
          <w:sz w:val="24"/>
        </w:rPr>
        <w:t>from having an adverse impact on the party’s autonomy over the arbitration proves</w:t>
      </w:r>
      <w:proofErr w:type="gramStart"/>
      <w:r w:rsidR="00926E3F">
        <w:rPr>
          <w:rFonts w:ascii="Bookman Old Style" w:hAnsi="Bookman Old Style"/>
          <w:sz w:val="24"/>
        </w:rPr>
        <w:t>,</w:t>
      </w:r>
      <w:proofErr w:type="gramEnd"/>
      <w:r w:rsidR="00926E3F">
        <w:rPr>
          <w:rFonts w:ascii="Bookman Old Style" w:hAnsi="Bookman Old Style"/>
          <w:sz w:val="24"/>
        </w:rPr>
        <w:t xml:space="preserve"> another</w:t>
      </w:r>
      <w:r w:rsidR="009A6D06">
        <w:rPr>
          <w:rFonts w:ascii="Bookman Old Style" w:hAnsi="Bookman Old Style"/>
          <w:sz w:val="24"/>
        </w:rPr>
        <w:t xml:space="preserve"> catastrophic effect of the </w:t>
      </w:r>
      <w:r w:rsidR="009A6D06" w:rsidRPr="009A6D06">
        <w:rPr>
          <w:rFonts w:ascii="Bookman Old Style" w:hAnsi="Bookman Old Style"/>
          <w:b/>
          <w:i/>
          <w:sz w:val="24"/>
        </w:rPr>
        <w:t>Perkins Judgment</w:t>
      </w:r>
      <w:r w:rsidR="009A6D06">
        <w:rPr>
          <w:rFonts w:ascii="Bookman Old Style" w:hAnsi="Bookman Old Style"/>
          <w:b/>
          <w:i/>
          <w:sz w:val="24"/>
        </w:rPr>
        <w:t xml:space="preserve"> </w:t>
      </w:r>
      <w:r w:rsidR="009A6D06">
        <w:rPr>
          <w:rFonts w:ascii="Bookman Old Style" w:hAnsi="Bookman Old Style"/>
          <w:sz w:val="24"/>
        </w:rPr>
        <w:t>is the drastic increase in the number of cases before the Judiciary which would, in turn, lead to docket explosion in the Courts. Arbitration agreements containing clauses stipulating the right of one party to unilaterally appoint Sole Arbitrator can be challenged in the Courts. Further, the award passed by Arbitrators appointed in view of such arbitration clauses have also found a leeway to be easily challenged on the ground of bias and partiality. This would not only defeat the purpose and object of the Arbitration and Conciliation Act but also defeat the goals of ‘speedy justice’ and ‘justice for all’</w:t>
      </w:r>
      <w:r w:rsidR="00926E3F">
        <w:rPr>
          <w:rFonts w:ascii="Bookman Old Style" w:hAnsi="Bookman Old Style"/>
          <w:sz w:val="24"/>
        </w:rPr>
        <w:t xml:space="preserve">. </w:t>
      </w:r>
    </w:p>
    <w:p w:rsidR="00926E3F" w:rsidRPr="008C3164" w:rsidRDefault="00246AA9" w:rsidP="009A6D06">
      <w:pPr>
        <w:spacing w:line="480" w:lineRule="auto"/>
        <w:jc w:val="both"/>
        <w:rPr>
          <w:rFonts w:ascii="Bookman Old Style" w:hAnsi="Bookman Old Style"/>
          <w:sz w:val="24"/>
        </w:rPr>
      </w:pPr>
      <w:r>
        <w:rPr>
          <w:rFonts w:ascii="Bookman Old Style" w:hAnsi="Bookman Old Style"/>
          <w:sz w:val="24"/>
        </w:rPr>
        <w:t>28.</w:t>
      </w:r>
      <w:r>
        <w:rPr>
          <w:rFonts w:ascii="Bookman Old Style" w:hAnsi="Bookman Old Style"/>
          <w:sz w:val="24"/>
        </w:rPr>
        <w:tab/>
      </w:r>
      <w:r w:rsidR="00926E3F">
        <w:rPr>
          <w:rFonts w:ascii="Bookman Old Style" w:hAnsi="Bookman Old Style"/>
          <w:sz w:val="24"/>
        </w:rPr>
        <w:t xml:space="preserve">The purpose of </w:t>
      </w:r>
      <w:r w:rsidR="008C3164">
        <w:rPr>
          <w:rFonts w:ascii="Bookman Old Style" w:hAnsi="Bookman Old Style"/>
          <w:sz w:val="24"/>
        </w:rPr>
        <w:t xml:space="preserve">introducing </w:t>
      </w:r>
      <w:r w:rsidR="00926E3F">
        <w:rPr>
          <w:rFonts w:ascii="Bookman Old Style" w:hAnsi="Bookman Old Style"/>
          <w:sz w:val="24"/>
        </w:rPr>
        <w:t xml:space="preserve">Arbitration as an alternative dispute </w:t>
      </w:r>
      <w:proofErr w:type="spellStart"/>
      <w:r w:rsidR="00926E3F">
        <w:rPr>
          <w:rFonts w:ascii="Bookman Old Style" w:hAnsi="Bookman Old Style"/>
          <w:sz w:val="24"/>
        </w:rPr>
        <w:t>redressal</w:t>
      </w:r>
      <w:proofErr w:type="spellEnd"/>
      <w:r w:rsidR="00926E3F">
        <w:rPr>
          <w:rFonts w:ascii="Bookman Old Style" w:hAnsi="Bookman Old Style"/>
          <w:sz w:val="24"/>
        </w:rPr>
        <w:t xml:space="preserve"> mechanism was twofold, that is to reduce the burden of the Courts and to provide a mechanism, for easy </w:t>
      </w:r>
      <w:proofErr w:type="spellStart"/>
      <w:r w:rsidR="00926E3F">
        <w:rPr>
          <w:rFonts w:ascii="Bookman Old Style" w:hAnsi="Bookman Old Style"/>
          <w:sz w:val="24"/>
        </w:rPr>
        <w:t>redressal</w:t>
      </w:r>
      <w:proofErr w:type="spellEnd"/>
      <w:r w:rsidR="00926E3F">
        <w:rPr>
          <w:rFonts w:ascii="Bookman Old Style" w:hAnsi="Bookman Old Style"/>
          <w:sz w:val="24"/>
        </w:rPr>
        <w:t xml:space="preserve"> of disputes, which was free from the procedural technicalities involved in the traditional meth</w:t>
      </w:r>
      <w:r w:rsidR="008C3164">
        <w:rPr>
          <w:rFonts w:ascii="Bookman Old Style" w:hAnsi="Bookman Old Style"/>
          <w:sz w:val="24"/>
        </w:rPr>
        <w:t>od of</w:t>
      </w:r>
      <w:r w:rsidR="00926E3F">
        <w:rPr>
          <w:rFonts w:ascii="Bookman Old Style" w:hAnsi="Bookman Old Style"/>
          <w:sz w:val="24"/>
        </w:rPr>
        <w:t xml:space="preserve"> dispute resolution. </w:t>
      </w:r>
      <w:r w:rsidR="008C3164">
        <w:rPr>
          <w:rFonts w:ascii="Bookman Old Style" w:hAnsi="Bookman Old Style"/>
          <w:sz w:val="24"/>
        </w:rPr>
        <w:t xml:space="preserve">Further, both the legislative as well as the judicial intention and object has been to curb and minimize the interference of the Courts. The </w:t>
      </w:r>
      <w:r w:rsidR="008C3164" w:rsidRPr="008C3164">
        <w:rPr>
          <w:rFonts w:ascii="Bookman Old Style" w:hAnsi="Bookman Old Style"/>
          <w:b/>
          <w:i/>
          <w:sz w:val="24"/>
        </w:rPr>
        <w:t>Perkins Judgment</w:t>
      </w:r>
      <w:r w:rsidR="008C3164">
        <w:rPr>
          <w:rFonts w:ascii="Bookman Old Style" w:hAnsi="Bookman Old Style"/>
          <w:b/>
          <w:i/>
          <w:sz w:val="24"/>
        </w:rPr>
        <w:t xml:space="preserve"> </w:t>
      </w:r>
      <w:r w:rsidR="008C3164">
        <w:rPr>
          <w:rFonts w:ascii="Bookman Old Style" w:hAnsi="Bookman Old Style"/>
          <w:sz w:val="24"/>
        </w:rPr>
        <w:t xml:space="preserve">manifestly defeats the entire purpose and calls into question a multitude of commercial </w:t>
      </w:r>
      <w:r w:rsidR="008C3164">
        <w:rPr>
          <w:rFonts w:ascii="Bookman Old Style" w:hAnsi="Bookman Old Style"/>
          <w:sz w:val="24"/>
        </w:rPr>
        <w:lastRenderedPageBreak/>
        <w:t>contracts containing clauses for appointment of Sole Arbitrator unilaterally by one party to the dispute which would disrupt and dismantle the</w:t>
      </w:r>
      <w:r w:rsidR="00A85235">
        <w:rPr>
          <w:rFonts w:ascii="Bookman Old Style" w:hAnsi="Bookman Old Style"/>
          <w:sz w:val="24"/>
        </w:rPr>
        <w:t xml:space="preserve"> laborious efforts made towards setting up a balanced</w:t>
      </w:r>
      <w:r w:rsidR="008C3164">
        <w:rPr>
          <w:rFonts w:ascii="Bookman Old Style" w:hAnsi="Bookman Old Style"/>
          <w:sz w:val="24"/>
        </w:rPr>
        <w:t xml:space="preserve"> </w:t>
      </w:r>
      <w:r w:rsidR="00A85235">
        <w:rPr>
          <w:rFonts w:ascii="Bookman Old Style" w:hAnsi="Bookman Old Style"/>
          <w:sz w:val="24"/>
        </w:rPr>
        <w:t xml:space="preserve">dispute </w:t>
      </w:r>
      <w:proofErr w:type="spellStart"/>
      <w:r w:rsidR="00A85235">
        <w:rPr>
          <w:rFonts w:ascii="Bookman Old Style" w:hAnsi="Bookman Old Style"/>
          <w:sz w:val="24"/>
        </w:rPr>
        <w:t>redressal</w:t>
      </w:r>
      <w:proofErr w:type="spellEnd"/>
      <w:r w:rsidR="00A85235">
        <w:rPr>
          <w:rFonts w:ascii="Bookman Old Style" w:hAnsi="Bookman Old Style"/>
          <w:sz w:val="24"/>
        </w:rPr>
        <w:t xml:space="preserve"> mechanism. </w:t>
      </w:r>
    </w:p>
    <w:p w:rsidR="00926E3F" w:rsidRDefault="00246AA9" w:rsidP="009A6D06">
      <w:pPr>
        <w:spacing w:line="480" w:lineRule="auto"/>
        <w:jc w:val="both"/>
        <w:rPr>
          <w:rFonts w:ascii="Bookman Old Style" w:hAnsi="Bookman Old Style"/>
          <w:sz w:val="24"/>
        </w:rPr>
      </w:pPr>
      <w:r>
        <w:rPr>
          <w:rFonts w:ascii="Bookman Old Style" w:hAnsi="Bookman Old Style"/>
          <w:sz w:val="24"/>
        </w:rPr>
        <w:t>29.</w:t>
      </w:r>
      <w:r>
        <w:rPr>
          <w:rFonts w:ascii="Bookman Old Style" w:hAnsi="Bookman Old Style"/>
          <w:sz w:val="24"/>
        </w:rPr>
        <w:tab/>
      </w:r>
      <w:r w:rsidR="00A85235">
        <w:rPr>
          <w:rFonts w:ascii="Bookman Old Style" w:hAnsi="Bookman Old Style"/>
          <w:sz w:val="24"/>
        </w:rPr>
        <w:t xml:space="preserve">It can be concluded from the said analysis that the Court in </w:t>
      </w:r>
      <w:r w:rsidR="00A85235" w:rsidRPr="00A85235">
        <w:rPr>
          <w:rFonts w:ascii="Bookman Old Style" w:hAnsi="Bookman Old Style"/>
          <w:b/>
          <w:i/>
          <w:sz w:val="24"/>
        </w:rPr>
        <w:t xml:space="preserve">Perkins Judgment </w:t>
      </w:r>
      <w:r w:rsidR="00A85235">
        <w:rPr>
          <w:rFonts w:ascii="Bookman Old Style" w:hAnsi="Bookman Old Style"/>
          <w:sz w:val="24"/>
        </w:rPr>
        <w:t xml:space="preserve">has failed to consider well-established principles of law and interpretation and further traversed beyond its judicial domain and onto the legislative sphere. Further, the Court has failed to </w:t>
      </w:r>
      <w:r w:rsidR="009B0D63">
        <w:rPr>
          <w:rFonts w:ascii="Bookman Old Style" w:hAnsi="Bookman Old Style"/>
          <w:sz w:val="24"/>
        </w:rPr>
        <w:t>take into account</w:t>
      </w:r>
      <w:r w:rsidR="00A85235">
        <w:rPr>
          <w:rFonts w:ascii="Bookman Old Style" w:hAnsi="Bookman Old Style"/>
          <w:sz w:val="24"/>
        </w:rPr>
        <w:t xml:space="preserve"> the eventual dilemma that shall be presented before the Courts, the litigants and the country at large. </w:t>
      </w:r>
      <w:r w:rsidR="009B0D63">
        <w:rPr>
          <w:rFonts w:ascii="Bookman Old Style" w:hAnsi="Bookman Old Style"/>
          <w:sz w:val="24"/>
        </w:rPr>
        <w:t xml:space="preserve">Ergo, the Perkins judgment requires a revisit after due consideration of the legal principles and impact on the system. </w:t>
      </w:r>
    </w:p>
    <w:p w:rsidR="00926E3F" w:rsidRPr="009A6D06" w:rsidRDefault="00926E3F" w:rsidP="009A6D06">
      <w:pPr>
        <w:spacing w:line="480" w:lineRule="auto"/>
        <w:jc w:val="both"/>
        <w:rPr>
          <w:rFonts w:ascii="Bookman Old Style" w:hAnsi="Bookman Old Style"/>
          <w:sz w:val="24"/>
        </w:rPr>
      </w:pPr>
      <w:r>
        <w:rPr>
          <w:rFonts w:ascii="Bookman Old Style" w:hAnsi="Bookman Old Style"/>
          <w:sz w:val="24"/>
        </w:rPr>
        <w:tab/>
      </w:r>
      <w:bookmarkStart w:id="0" w:name="_GoBack"/>
      <w:bookmarkEnd w:id="0"/>
    </w:p>
    <w:sectPr w:rsidR="00926E3F" w:rsidRPr="009A6D06" w:rsidSect="003E600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23C" w:rsidRDefault="0089023C" w:rsidP="00D646DB">
      <w:pPr>
        <w:spacing w:after="0" w:line="240" w:lineRule="auto"/>
      </w:pPr>
      <w:r>
        <w:separator/>
      </w:r>
    </w:p>
  </w:endnote>
  <w:endnote w:type="continuationSeparator" w:id="0">
    <w:p w:rsidR="0089023C" w:rsidRDefault="0089023C" w:rsidP="00D64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23C" w:rsidRDefault="0089023C" w:rsidP="00D646DB">
      <w:pPr>
        <w:spacing w:after="0" w:line="240" w:lineRule="auto"/>
      </w:pPr>
      <w:r>
        <w:separator/>
      </w:r>
    </w:p>
  </w:footnote>
  <w:footnote w:type="continuationSeparator" w:id="0">
    <w:p w:rsidR="0089023C" w:rsidRDefault="0089023C" w:rsidP="00D646DB">
      <w:pPr>
        <w:spacing w:after="0" w:line="240" w:lineRule="auto"/>
      </w:pPr>
      <w:r>
        <w:continuationSeparator/>
      </w:r>
    </w:p>
  </w:footnote>
  <w:footnote w:id="1">
    <w:p w:rsidR="00246AA9" w:rsidRPr="00246AA9" w:rsidRDefault="00246AA9">
      <w:pPr>
        <w:pStyle w:val="FootnoteText"/>
        <w:rPr>
          <w:rFonts w:ascii="Bookman Old Style" w:hAnsi="Bookman Old Style"/>
        </w:rPr>
      </w:pPr>
      <w:r w:rsidRPr="00246AA9">
        <w:rPr>
          <w:rStyle w:val="FootnoteReference"/>
          <w:rFonts w:ascii="Bookman Old Style" w:hAnsi="Bookman Old Style"/>
          <w:vertAlign w:val="baseline"/>
        </w:rPr>
        <w:footnoteRef/>
      </w:r>
      <w:r>
        <w:rPr>
          <w:rFonts w:ascii="Bookman Old Style" w:hAnsi="Bookman Old Style"/>
        </w:rPr>
        <w:t>.</w:t>
      </w:r>
      <w:r w:rsidRPr="00246AA9">
        <w:rPr>
          <w:rFonts w:ascii="Bookman Old Style" w:hAnsi="Bookman Old Style"/>
        </w:rPr>
        <w:t xml:space="preserve"> </w:t>
      </w:r>
      <w:r w:rsidRPr="00246AA9">
        <w:rPr>
          <w:rFonts w:ascii="Bookman Old Style" w:hAnsi="Bookman Old Style"/>
          <w:color w:val="000000"/>
          <w:shd w:val="clear" w:color="auto" w:fill="FFFFFF"/>
        </w:rPr>
        <w:t xml:space="preserve">2019 (9) SCC </w:t>
      </w:r>
      <w:proofErr w:type="spellStart"/>
      <w:r w:rsidRPr="00246AA9">
        <w:rPr>
          <w:rFonts w:ascii="Bookman Old Style" w:hAnsi="Bookman Old Style"/>
          <w:color w:val="000000"/>
          <w:shd w:val="clear" w:color="auto" w:fill="FFFFFF"/>
        </w:rPr>
        <w:t>OnLine</w:t>
      </w:r>
      <w:proofErr w:type="spellEnd"/>
      <w:r w:rsidRPr="00246AA9">
        <w:rPr>
          <w:rFonts w:ascii="Bookman Old Style" w:hAnsi="Bookman Old Style"/>
          <w:color w:val="000000"/>
          <w:shd w:val="clear" w:color="auto" w:fill="FFFFFF"/>
        </w:rPr>
        <w:t xml:space="preserve"> SC 1517</w:t>
      </w:r>
    </w:p>
  </w:footnote>
  <w:footnote w:id="2">
    <w:p w:rsidR="00246AA9" w:rsidRPr="00246AA9" w:rsidRDefault="00246AA9">
      <w:pPr>
        <w:pStyle w:val="FootnoteText"/>
        <w:rPr>
          <w:rFonts w:ascii="Bookman Old Style" w:hAnsi="Bookman Old Style"/>
        </w:rPr>
      </w:pPr>
      <w:r w:rsidRPr="00246AA9">
        <w:rPr>
          <w:rStyle w:val="FootnoteReference"/>
          <w:rFonts w:ascii="Bookman Old Style" w:hAnsi="Bookman Old Style"/>
          <w:vertAlign w:val="baseline"/>
        </w:rPr>
        <w:footnoteRef/>
      </w:r>
      <w:r>
        <w:rPr>
          <w:rFonts w:ascii="Bookman Old Style" w:hAnsi="Bookman Old Style"/>
        </w:rPr>
        <w:t>.</w:t>
      </w:r>
      <w:r w:rsidRPr="00246AA9">
        <w:rPr>
          <w:rFonts w:ascii="Bookman Old Style" w:hAnsi="Bookman Old Style"/>
        </w:rPr>
        <w:t xml:space="preserve"> </w:t>
      </w:r>
      <w:r w:rsidRPr="00246AA9">
        <w:rPr>
          <w:rFonts w:ascii="Bookman Old Style" w:hAnsi="Bookman Old Style"/>
          <w:color w:val="000000"/>
          <w:shd w:val="clear" w:color="auto" w:fill="FFFFFF"/>
        </w:rPr>
        <w:t>(2009) 8 SCC 520</w:t>
      </w:r>
    </w:p>
  </w:footnote>
  <w:footnote w:id="3">
    <w:p w:rsidR="00246AA9" w:rsidRPr="00246AA9" w:rsidRDefault="00246AA9">
      <w:pPr>
        <w:pStyle w:val="FootnoteText"/>
        <w:rPr>
          <w:rFonts w:ascii="Bookman Old Style" w:hAnsi="Bookman Old Style"/>
        </w:rPr>
      </w:pPr>
      <w:r w:rsidRPr="00246AA9">
        <w:rPr>
          <w:rStyle w:val="FootnoteReference"/>
          <w:rFonts w:ascii="Bookman Old Style" w:hAnsi="Bookman Old Style"/>
          <w:vertAlign w:val="baseline"/>
        </w:rPr>
        <w:footnoteRef/>
      </w:r>
      <w:r>
        <w:rPr>
          <w:rFonts w:ascii="Bookman Old Style" w:hAnsi="Bookman Old Style"/>
        </w:rPr>
        <w:t>.</w:t>
      </w:r>
      <w:r w:rsidRPr="00246AA9">
        <w:rPr>
          <w:rFonts w:ascii="Bookman Old Style" w:hAnsi="Bookman Old Style"/>
        </w:rPr>
        <w:t xml:space="preserve"> </w:t>
      </w:r>
      <w:r w:rsidRPr="00246AA9">
        <w:rPr>
          <w:rFonts w:ascii="Bookman Old Style" w:hAnsi="Bookman Old Style"/>
          <w:color w:val="000000"/>
          <w:shd w:val="clear" w:color="auto" w:fill="FFFFFF"/>
        </w:rPr>
        <w:t>(2017) 8 SCC 377</w:t>
      </w:r>
    </w:p>
  </w:footnote>
  <w:footnote w:id="4">
    <w:p w:rsidR="00A81F95" w:rsidRPr="00A81F95" w:rsidRDefault="00A81F95">
      <w:pPr>
        <w:pStyle w:val="FootnoteText"/>
        <w:rPr>
          <w:rFonts w:ascii="Bookman Old Style" w:hAnsi="Bookman Old Style"/>
        </w:rPr>
      </w:pPr>
      <w:r w:rsidRPr="00A81F95">
        <w:rPr>
          <w:rStyle w:val="FootnoteReference"/>
          <w:rFonts w:ascii="Bookman Old Style" w:hAnsi="Bookman Old Style"/>
          <w:vertAlign w:val="baseline"/>
        </w:rPr>
        <w:footnoteRef/>
      </w:r>
      <w:r>
        <w:rPr>
          <w:rFonts w:ascii="Bookman Old Style" w:hAnsi="Bookman Old Style"/>
        </w:rPr>
        <w:t>.</w:t>
      </w:r>
      <w:r w:rsidRPr="00A81F95">
        <w:rPr>
          <w:rFonts w:ascii="Bookman Old Style" w:hAnsi="Bookman Old Style"/>
        </w:rPr>
        <w:t xml:space="preserve"> O.M.P. (T) (COMM.) 101/2017</w:t>
      </w:r>
    </w:p>
  </w:footnote>
  <w:footnote w:id="5">
    <w:p w:rsidR="00A81F95" w:rsidRPr="00A81F95" w:rsidRDefault="00A81F95">
      <w:pPr>
        <w:pStyle w:val="FootnoteText"/>
        <w:rPr>
          <w:rFonts w:ascii="Bookman Old Style" w:hAnsi="Bookman Old Style"/>
        </w:rPr>
      </w:pPr>
      <w:r w:rsidRPr="00A81F95">
        <w:rPr>
          <w:rStyle w:val="FootnoteReference"/>
          <w:rFonts w:ascii="Bookman Old Style" w:hAnsi="Bookman Old Style"/>
          <w:vertAlign w:val="baseline"/>
        </w:rPr>
        <w:footnoteRef/>
      </w:r>
      <w:r>
        <w:rPr>
          <w:rFonts w:ascii="Bookman Old Style" w:hAnsi="Bookman Old Style"/>
        </w:rPr>
        <w:t>.</w:t>
      </w:r>
      <w:r w:rsidRPr="00A81F95">
        <w:rPr>
          <w:rFonts w:ascii="Bookman Old Style" w:hAnsi="Bookman Old Style"/>
        </w:rPr>
        <w:t xml:space="preserve"> </w:t>
      </w:r>
      <w:r w:rsidRPr="00A81F95">
        <w:rPr>
          <w:rFonts w:ascii="Bookman Old Style" w:hAnsi="Bookman Old Style"/>
          <w:color w:val="000000"/>
          <w:shd w:val="clear" w:color="auto" w:fill="FFFFFF"/>
        </w:rPr>
        <w:t>2018 SCC Online Cal 13253</w:t>
      </w:r>
    </w:p>
  </w:footnote>
  <w:footnote w:id="6">
    <w:p w:rsidR="00D646DB" w:rsidRDefault="00D646DB">
      <w:pPr>
        <w:pStyle w:val="FootnoteText"/>
      </w:pPr>
      <w:r w:rsidRPr="00D646DB">
        <w:rPr>
          <w:rFonts w:ascii="Bookman Old Style" w:hAnsi="Bookman Old Style"/>
          <w:sz w:val="24"/>
          <w:szCs w:val="22"/>
        </w:rPr>
        <w:footnoteRef/>
      </w:r>
      <w:r>
        <w:rPr>
          <w:rFonts w:ascii="Bookman Old Style" w:hAnsi="Bookman Old Style"/>
          <w:sz w:val="24"/>
          <w:szCs w:val="22"/>
        </w:rPr>
        <w:t>.</w:t>
      </w:r>
      <w:r w:rsidRPr="00D646DB">
        <w:rPr>
          <w:rFonts w:ascii="Bookman Old Style" w:hAnsi="Bookman Old Style"/>
          <w:sz w:val="24"/>
          <w:szCs w:val="22"/>
        </w:rPr>
        <w:t xml:space="preserve"> (1980) 1 All ER 529</w:t>
      </w:r>
    </w:p>
  </w:footnote>
  <w:footnote w:id="7">
    <w:p w:rsidR="002B3513" w:rsidRPr="002B3513" w:rsidRDefault="002B3513">
      <w:pPr>
        <w:pStyle w:val="FootnoteText"/>
        <w:rPr>
          <w:rFonts w:ascii="Bookman Old Style" w:hAnsi="Bookman Old Style"/>
          <w:sz w:val="24"/>
          <w:szCs w:val="24"/>
        </w:rPr>
      </w:pPr>
      <w:r w:rsidRPr="00A81F95">
        <w:rPr>
          <w:rStyle w:val="FootnoteReference"/>
          <w:rFonts w:ascii="Bookman Old Style" w:hAnsi="Bookman Old Style"/>
          <w:szCs w:val="24"/>
          <w:vertAlign w:val="baseline"/>
        </w:rPr>
        <w:footnoteRef/>
      </w:r>
      <w:r w:rsidRPr="00A81F95">
        <w:rPr>
          <w:rFonts w:ascii="Bookman Old Style" w:hAnsi="Bookman Old Style"/>
          <w:szCs w:val="24"/>
        </w:rPr>
        <w:t xml:space="preserve">. </w:t>
      </w:r>
      <w:r w:rsidRPr="00A81F95">
        <w:rPr>
          <w:rFonts w:ascii="Bookman Old Style" w:hAnsi="Bookman Old Style"/>
          <w:color w:val="000000"/>
          <w:szCs w:val="24"/>
          <w:shd w:val="clear" w:color="auto" w:fill="FFFFFF"/>
        </w:rPr>
        <w:t>(2003) 2 SCC 111</w:t>
      </w:r>
    </w:p>
  </w:footnote>
  <w:footnote w:id="8">
    <w:p w:rsidR="00E65DFB" w:rsidRPr="00E65DFB" w:rsidRDefault="00E65DFB">
      <w:pPr>
        <w:pStyle w:val="FootnoteText"/>
        <w:rPr>
          <w:rFonts w:ascii="Bookman Old Style" w:hAnsi="Bookman Old Style"/>
        </w:rPr>
      </w:pPr>
      <w:r w:rsidRPr="00E65DFB">
        <w:rPr>
          <w:rStyle w:val="FootnoteReference"/>
          <w:rFonts w:ascii="Bookman Old Style" w:hAnsi="Bookman Old Style"/>
          <w:vertAlign w:val="baseline"/>
        </w:rPr>
        <w:footnoteRef/>
      </w:r>
      <w:r>
        <w:rPr>
          <w:rFonts w:ascii="Bookman Old Style" w:hAnsi="Bookman Old Style"/>
        </w:rPr>
        <w:t>.</w:t>
      </w:r>
      <w:r w:rsidRPr="00E65DFB">
        <w:rPr>
          <w:rFonts w:ascii="Bookman Old Style" w:hAnsi="Bookman Old Style"/>
        </w:rPr>
        <w:t xml:space="preserve"> (2016) 3 SCC 762  </w:t>
      </w:r>
    </w:p>
  </w:footnote>
  <w:footnote w:id="9">
    <w:p w:rsidR="00E65DFB" w:rsidRDefault="00E65DFB">
      <w:pPr>
        <w:pStyle w:val="FootnoteText"/>
      </w:pPr>
      <w:r w:rsidRPr="00E65DFB">
        <w:rPr>
          <w:rFonts w:ascii="Bookman Old Style" w:hAnsi="Bookman Old Style"/>
        </w:rPr>
        <w:footnoteRef/>
      </w:r>
      <w:r>
        <w:rPr>
          <w:rFonts w:ascii="Bookman Old Style" w:hAnsi="Bookman Old Style"/>
        </w:rPr>
        <w:t>.</w:t>
      </w:r>
      <w:r w:rsidRPr="00E65DFB">
        <w:rPr>
          <w:rFonts w:ascii="Bookman Old Style" w:hAnsi="Bookman Old Style"/>
        </w:rPr>
        <w:t xml:space="preserve"> 2012 (2) ACR 1328 (SC)</w:t>
      </w:r>
      <w:r>
        <w:rPr>
          <w:rFonts w:ascii="Bookman Old Style" w:hAnsi="Bookman Old Style"/>
          <w:sz w:val="24"/>
        </w:rPr>
        <w:t xml:space="preserve">  </w:t>
      </w:r>
    </w:p>
  </w:footnote>
  <w:footnote w:id="10">
    <w:p w:rsidR="009E4E62" w:rsidRPr="00A81F95" w:rsidRDefault="009E4E62">
      <w:pPr>
        <w:pStyle w:val="FootnoteText"/>
        <w:rPr>
          <w:rFonts w:ascii="Bookman Old Style" w:hAnsi="Bookman Old Style"/>
        </w:rPr>
      </w:pPr>
      <w:r w:rsidRPr="00A81F95">
        <w:rPr>
          <w:rStyle w:val="FootnoteReference"/>
          <w:rFonts w:ascii="Bookman Old Style" w:hAnsi="Bookman Old Style"/>
          <w:vertAlign w:val="baseline"/>
        </w:rPr>
        <w:footnoteRef/>
      </w:r>
      <w:r w:rsidRPr="00A81F95">
        <w:rPr>
          <w:rFonts w:ascii="Bookman Old Style" w:hAnsi="Bookman Old Style"/>
        </w:rPr>
        <w:t>.</w:t>
      </w:r>
      <w:r w:rsidRPr="00A81F95">
        <w:rPr>
          <w:rStyle w:val="FootnoteReference"/>
          <w:rFonts w:ascii="Bookman Old Style" w:hAnsi="Bookman Old Style"/>
          <w:vertAlign w:val="baseline"/>
        </w:rPr>
        <w:t xml:space="preserve"> (1971) 1 SCC 85</w:t>
      </w:r>
      <w:r w:rsidRPr="00A81F95">
        <w:rPr>
          <w:rFonts w:ascii="Bookman Old Style" w:hAnsi="Bookman Old Style"/>
          <w:sz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652"/>
    <w:rsid w:val="00004D1F"/>
    <w:rsid w:val="00017EC2"/>
    <w:rsid w:val="00051C38"/>
    <w:rsid w:val="000A0659"/>
    <w:rsid w:val="00120E83"/>
    <w:rsid w:val="001562D9"/>
    <w:rsid w:val="00246AA9"/>
    <w:rsid w:val="00262418"/>
    <w:rsid w:val="002B3513"/>
    <w:rsid w:val="002F63EE"/>
    <w:rsid w:val="00315E38"/>
    <w:rsid w:val="00346CDE"/>
    <w:rsid w:val="003852FF"/>
    <w:rsid w:val="00392804"/>
    <w:rsid w:val="00397E1C"/>
    <w:rsid w:val="003B0D52"/>
    <w:rsid w:val="003E6003"/>
    <w:rsid w:val="0040670F"/>
    <w:rsid w:val="00510DE1"/>
    <w:rsid w:val="00587B1E"/>
    <w:rsid w:val="00590F4E"/>
    <w:rsid w:val="005A2A1A"/>
    <w:rsid w:val="005A7250"/>
    <w:rsid w:val="00645613"/>
    <w:rsid w:val="006B521A"/>
    <w:rsid w:val="007248C6"/>
    <w:rsid w:val="00784E0C"/>
    <w:rsid w:val="007D1F43"/>
    <w:rsid w:val="008468B8"/>
    <w:rsid w:val="00862A67"/>
    <w:rsid w:val="008642BE"/>
    <w:rsid w:val="0089023C"/>
    <w:rsid w:val="008A34E4"/>
    <w:rsid w:val="008C3164"/>
    <w:rsid w:val="008C3A22"/>
    <w:rsid w:val="008D3B46"/>
    <w:rsid w:val="00920665"/>
    <w:rsid w:val="00926E3F"/>
    <w:rsid w:val="0097642F"/>
    <w:rsid w:val="009A4A94"/>
    <w:rsid w:val="009A6D06"/>
    <w:rsid w:val="009B0D63"/>
    <w:rsid w:val="009E4E62"/>
    <w:rsid w:val="00A47CCA"/>
    <w:rsid w:val="00A61C32"/>
    <w:rsid w:val="00A81F95"/>
    <w:rsid w:val="00A85235"/>
    <w:rsid w:val="00B2498D"/>
    <w:rsid w:val="00B546F2"/>
    <w:rsid w:val="00B6793C"/>
    <w:rsid w:val="00BA2B2D"/>
    <w:rsid w:val="00BE589F"/>
    <w:rsid w:val="00BE7652"/>
    <w:rsid w:val="00C04A60"/>
    <w:rsid w:val="00C17140"/>
    <w:rsid w:val="00C67017"/>
    <w:rsid w:val="00CD6FA8"/>
    <w:rsid w:val="00D23803"/>
    <w:rsid w:val="00D34197"/>
    <w:rsid w:val="00D453F9"/>
    <w:rsid w:val="00D644AF"/>
    <w:rsid w:val="00D646DB"/>
    <w:rsid w:val="00D6477E"/>
    <w:rsid w:val="00DE4476"/>
    <w:rsid w:val="00DF5822"/>
    <w:rsid w:val="00E65DFB"/>
    <w:rsid w:val="00E72889"/>
    <w:rsid w:val="00E76529"/>
    <w:rsid w:val="00E92858"/>
    <w:rsid w:val="00EB731A"/>
    <w:rsid w:val="00F42658"/>
    <w:rsid w:val="00F9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6D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4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6DB"/>
    <w:rPr>
      <w:sz w:val="20"/>
      <w:szCs w:val="20"/>
    </w:rPr>
  </w:style>
  <w:style w:type="character" w:styleId="FootnoteReference">
    <w:name w:val="footnote reference"/>
    <w:basedOn w:val="DefaultParagraphFont"/>
    <w:uiPriority w:val="99"/>
    <w:semiHidden/>
    <w:unhideWhenUsed/>
    <w:rsid w:val="00D646D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6D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646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6DB"/>
    <w:rPr>
      <w:sz w:val="20"/>
      <w:szCs w:val="20"/>
    </w:rPr>
  </w:style>
  <w:style w:type="character" w:styleId="FootnoteReference">
    <w:name w:val="footnote reference"/>
    <w:basedOn w:val="DefaultParagraphFont"/>
    <w:uiPriority w:val="99"/>
    <w:semiHidden/>
    <w:unhideWhenUsed/>
    <w:rsid w:val="00D64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100">
      <w:bodyDiv w:val="1"/>
      <w:marLeft w:val="0"/>
      <w:marRight w:val="0"/>
      <w:marTop w:val="0"/>
      <w:marBottom w:val="0"/>
      <w:divBdr>
        <w:top w:val="none" w:sz="0" w:space="0" w:color="auto"/>
        <w:left w:val="none" w:sz="0" w:space="0" w:color="auto"/>
        <w:bottom w:val="none" w:sz="0" w:space="0" w:color="auto"/>
        <w:right w:val="none" w:sz="0" w:space="0" w:color="auto"/>
      </w:divBdr>
    </w:div>
    <w:div w:id="593368656">
      <w:bodyDiv w:val="1"/>
      <w:marLeft w:val="0"/>
      <w:marRight w:val="0"/>
      <w:marTop w:val="0"/>
      <w:marBottom w:val="0"/>
      <w:divBdr>
        <w:top w:val="none" w:sz="0" w:space="0" w:color="auto"/>
        <w:left w:val="none" w:sz="0" w:space="0" w:color="auto"/>
        <w:bottom w:val="none" w:sz="0" w:space="0" w:color="auto"/>
        <w:right w:val="none" w:sz="0" w:space="0" w:color="auto"/>
      </w:divBdr>
    </w:div>
    <w:div w:id="1602568360">
      <w:bodyDiv w:val="1"/>
      <w:marLeft w:val="0"/>
      <w:marRight w:val="0"/>
      <w:marTop w:val="0"/>
      <w:marBottom w:val="0"/>
      <w:divBdr>
        <w:top w:val="none" w:sz="0" w:space="0" w:color="auto"/>
        <w:left w:val="none" w:sz="0" w:space="0" w:color="auto"/>
        <w:bottom w:val="none" w:sz="0" w:space="0" w:color="auto"/>
        <w:right w:val="none" w:sz="0" w:space="0" w:color="auto"/>
      </w:divBdr>
      <w:divsChild>
        <w:div w:id="123543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B75F-D9D0-468B-891B-ED742D4B0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3877913</TotalTime>
  <Pages>15</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2020-04-18T16:14:00Z</dcterms:created>
  <dcterms:modified xsi:type="dcterms:W3CDTF">2020-05-14T23:52:00Z</dcterms:modified>
</cp:coreProperties>
</file>